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C306C" w14:textId="77777777" w:rsidR="007E12E8" w:rsidRDefault="000E535A">
      <w:pPr>
        <w:spacing w:after="80"/>
      </w:pPr>
      <w:r>
        <w:rPr>
          <w:b/>
          <w:bCs/>
          <w:color w:val="1B3A5C"/>
          <w:sz w:val="48"/>
          <w:szCs w:val="48"/>
        </w:rPr>
        <w:t>Data Security, Privacy &amp; Ethics</w:t>
      </w:r>
    </w:p>
    <w:p w14:paraId="6CEC306F" w14:textId="77777777" w:rsidR="007E12E8" w:rsidRDefault="000E535A">
      <w:pPr>
        <w:pStyle w:val="Heading1"/>
      </w:pPr>
      <w:r>
        <w:t>Course Description</w:t>
      </w:r>
    </w:p>
    <w:p w14:paraId="6CEC3070" w14:textId="77777777" w:rsidR="007E12E8" w:rsidRDefault="000E535A">
      <w:pPr>
        <w:spacing w:after="120" w:line="276" w:lineRule="auto"/>
      </w:pPr>
      <w:r>
        <w:rPr>
          <w:sz w:val="21"/>
          <w:szCs w:val="21"/>
        </w:rPr>
        <w:t>Health systems across sub-Saharan Africa and South Asia are digitizing faster than the governance structures around them can keep up. Community health workers in Kenya log patient visits on DHIS2. Nurses in Bangladesh transmit lab results over WhatsApp. Nigeria’s national health insurance scheme is building a biometric enrollment database linking identity to clinical history. This is not a future-state problem. It is happening now, often on personal devices, over unsecured networks, with minimal policy guidance and almost no enforcement infrastructure.</w:t>
      </w:r>
    </w:p>
    <w:p w14:paraId="6CEC3071" w14:textId="2D2B8E4F" w:rsidR="007E12E8" w:rsidRDefault="000E535A">
      <w:pPr>
        <w:spacing w:after="120" w:line="276" w:lineRule="auto"/>
      </w:pPr>
      <w:r>
        <w:rPr>
          <w:sz w:val="21"/>
          <w:szCs w:val="21"/>
        </w:rPr>
        <w:t>This module confronts that reality directly. It is not an abstract survey of cybersecurity principles or a compliance checklist exercise. It is built around the actual conditions in which LMIC health data is generated, stored, transmitted, and, frequently, exposed: shared Android phones used by multiple health workers, facility-level servers that run on intermittent power with no automatic backups, and national-level health information exchanges that are being designed without formal data-sharing agreements.</w:t>
      </w:r>
    </w:p>
    <w:p w14:paraId="6CEC3072" w14:textId="77777777" w:rsidR="007E12E8" w:rsidRDefault="000E535A">
      <w:pPr>
        <w:spacing w:after="120" w:line="276" w:lineRule="auto"/>
      </w:pPr>
      <w:r>
        <w:rPr>
          <w:sz w:val="21"/>
          <w:szCs w:val="21"/>
        </w:rPr>
        <w:t>Over three weeks, participants work through the security, privacy, and ethical dimensions of health data governance in resource-constrained environments. The module moves from foundational threat modeling in Week 1 to the regulatory and consent landscape in Week 2 to the harder governance questions around algorithmic bias, data sovereignty, and community ownership of health information in Week 3. Each week pairs asynchronous content with a synchronous live session built around a case drawn from documented LMIC health system events.</w:t>
      </w:r>
    </w:p>
    <w:p w14:paraId="6CEC3073" w14:textId="77777777" w:rsidR="007E12E8" w:rsidRDefault="000E535A">
      <w:pPr>
        <w:pStyle w:val="Heading1"/>
      </w:pPr>
      <w:r>
        <w:t>Learning Objectives</w:t>
      </w:r>
    </w:p>
    <w:p w14:paraId="6CEC3074" w14:textId="77777777" w:rsidR="007E12E8" w:rsidRDefault="000E535A">
      <w:pPr>
        <w:spacing w:after="120" w:line="276" w:lineRule="auto"/>
      </w:pPr>
      <w:r>
        <w:rPr>
          <w:sz w:val="21"/>
          <w:szCs w:val="21"/>
        </w:rPr>
        <w:t>By the end of this module, participants will be able to:</w:t>
      </w:r>
    </w:p>
    <w:p w14:paraId="6CEC3075" w14:textId="77777777" w:rsidR="007E12E8" w:rsidRDefault="000E535A">
      <w:pPr>
        <w:spacing w:after="120" w:line="276" w:lineRule="auto"/>
      </w:pPr>
      <w:r>
        <w:rPr>
          <w:b/>
          <w:bCs/>
          <w:sz w:val="21"/>
          <w:szCs w:val="21"/>
        </w:rPr>
        <w:t xml:space="preserve">1. </w:t>
      </w:r>
      <w:r>
        <w:rPr>
          <w:sz w:val="21"/>
          <w:szCs w:val="21"/>
        </w:rPr>
        <w:t>Conduct a structured threat and vulnerability assessment of a health information system operating in a low-resource environment, accounting for infrastructure constraints such as intermittent connectivity, shared devices, and limited IT staffing.</w:t>
      </w:r>
    </w:p>
    <w:p w14:paraId="6CEC3076" w14:textId="79A276BC" w:rsidR="007E12E8" w:rsidRDefault="000E535A">
      <w:pPr>
        <w:spacing w:after="120" w:line="276" w:lineRule="auto"/>
      </w:pPr>
      <w:r>
        <w:rPr>
          <w:b/>
          <w:bCs/>
          <w:sz w:val="21"/>
          <w:szCs w:val="21"/>
        </w:rPr>
        <w:t xml:space="preserve">2. </w:t>
      </w:r>
      <w:r>
        <w:rPr>
          <w:sz w:val="21"/>
          <w:szCs w:val="21"/>
        </w:rPr>
        <w:t>Map a country-level health data flow, from point of care through aggregation to national reporting, and identify where privacy protections break down in practice, distinguishing between policy gaps and implementation failures.</w:t>
      </w:r>
    </w:p>
    <w:p w14:paraId="6CEC3077" w14:textId="77777777" w:rsidR="007E12E8" w:rsidRDefault="000E535A">
      <w:pPr>
        <w:spacing w:after="120" w:line="276" w:lineRule="auto"/>
      </w:pPr>
      <w:r>
        <w:rPr>
          <w:b/>
          <w:bCs/>
          <w:sz w:val="21"/>
          <w:szCs w:val="21"/>
        </w:rPr>
        <w:t xml:space="preserve">3. </w:t>
      </w:r>
      <w:r>
        <w:rPr>
          <w:sz w:val="21"/>
          <w:szCs w:val="21"/>
        </w:rPr>
        <w:t>Apply at least two established privacy frameworks (e.g., the NDPR, the Nigerian Cybercrimes Act, GDPR adequacy requirements, the AU Convention on Cyber Security) to a specific LMIC health data scenario and articulate where these frameworks align and where they leave unresolved gaps.</w:t>
      </w:r>
    </w:p>
    <w:p w14:paraId="6CEC3078" w14:textId="3150D5F3" w:rsidR="007E12E8" w:rsidRDefault="000E535A">
      <w:pPr>
        <w:spacing w:after="120" w:line="276" w:lineRule="auto"/>
      </w:pPr>
      <w:r>
        <w:rPr>
          <w:b/>
          <w:bCs/>
          <w:sz w:val="21"/>
          <w:szCs w:val="21"/>
        </w:rPr>
        <w:t xml:space="preserve">4. </w:t>
      </w:r>
      <w:r>
        <w:rPr>
          <w:sz w:val="21"/>
          <w:szCs w:val="21"/>
        </w:rPr>
        <w:t>Analyze an ethical dilemma involving LMIC health data, such as secondary use of clinical data for AI training, donor-mandated data sharing, or biometric identification of vulnerable populations, using a structured ethical reasoning framework and defend a recommendation.</w:t>
      </w:r>
    </w:p>
    <w:p w14:paraId="6CEC3079" w14:textId="77777777" w:rsidR="007E12E8" w:rsidRDefault="000E535A">
      <w:pPr>
        <w:spacing w:after="120" w:line="276" w:lineRule="auto"/>
      </w:pPr>
      <w:r>
        <w:rPr>
          <w:b/>
          <w:bCs/>
          <w:sz w:val="21"/>
          <w:szCs w:val="21"/>
        </w:rPr>
        <w:t xml:space="preserve">5. </w:t>
      </w:r>
      <w:r>
        <w:rPr>
          <w:sz w:val="21"/>
          <w:szCs w:val="21"/>
        </w:rPr>
        <w:t>Draft a practical, implementable data governance recommendation for a specific health system scenario, addressing security controls, consent processes, and accountability mechanisms that are realistic given the resource and capacity constraints of the setting.</w:t>
      </w:r>
    </w:p>
    <w:p w14:paraId="6CEC307B" w14:textId="77777777" w:rsidR="007E12E8" w:rsidRDefault="000E535A">
      <w:pPr>
        <w:pStyle w:val="Heading1"/>
      </w:pPr>
      <w:r>
        <w:lastRenderedPageBreak/>
        <w:t>WEEK 1: Security Realities in Low-Resource Health Systems</w:t>
      </w:r>
    </w:p>
    <w:p w14:paraId="6CEC307C" w14:textId="5D3B9065" w:rsidR="007E12E8" w:rsidRDefault="000E535A">
      <w:pPr>
        <w:spacing w:after="120" w:line="276" w:lineRule="auto"/>
      </w:pPr>
      <w:r>
        <w:rPr>
          <w:sz w:val="21"/>
          <w:szCs w:val="21"/>
        </w:rPr>
        <w:t>Week 1 grounds the security conversation in the actual operating environment. Most cybersecurity curricula assume enterprise IT infrastructure: managed endpoints, segmented networks, dedicated security operations centers. That bears almost no resemblance to how health data is handled in most LMIC contexts. This week forces participants to think about security within the constraints that actually exist rather than the ones we wish existed.</w:t>
      </w:r>
    </w:p>
    <w:p w14:paraId="6CEC307D" w14:textId="77777777" w:rsidR="007E12E8" w:rsidRDefault="000E535A">
      <w:pPr>
        <w:pStyle w:val="Heading2"/>
      </w:pPr>
      <w:r>
        <w:t>Asynchronous Content</w:t>
      </w:r>
    </w:p>
    <w:p w14:paraId="6CEC307E" w14:textId="77777777" w:rsidR="007E12E8" w:rsidRDefault="000E535A">
      <w:pPr>
        <w:spacing w:before="200" w:after="80"/>
      </w:pPr>
      <w:r>
        <w:rPr>
          <w:b/>
          <w:bCs/>
          <w:color w:val="1B3A5C"/>
        </w:rPr>
        <w:t>Topic 1: The Threat Landscape for LMIC Health Data</w:t>
      </w:r>
    </w:p>
    <w:p w14:paraId="6CEC307F" w14:textId="77777777" w:rsidR="007E12E8" w:rsidRDefault="000E535A">
      <w:pPr>
        <w:spacing w:after="120" w:line="276" w:lineRule="auto"/>
      </w:pPr>
      <w:r>
        <w:rPr>
          <w:sz w:val="21"/>
          <w:szCs w:val="21"/>
        </w:rPr>
        <w:t>This is not a generic overview of malware types. The content focuses on the threat categories that are most relevant and most frequently realized in LMIC health settings: insider threats from health workers who access or share records inappropriately (often without malicious intent but because system design makes it the path of least resistance); data loss from device theft, hardware failure, or power events; man-in-the-middle exposure on unsecured public networks; and supply-chain risks from unvetted third-party applications integrated into health information systems. Participants review three documented incidents: the 2020 exposure of South African National Health Laboratory Service data, the 2021 breach of Indonesia’s BPJS Kesehatan health insurance database affecting 279 million records, and the ongoing challenges with unencrypted data transmission in several DHIS2 national deployments.</w:t>
      </w:r>
    </w:p>
    <w:p w14:paraId="6CEC3080" w14:textId="77777777" w:rsidR="007E12E8" w:rsidRDefault="000E535A">
      <w:pPr>
        <w:spacing w:before="200" w:after="80"/>
      </w:pPr>
      <w:r>
        <w:rPr>
          <w:b/>
          <w:bCs/>
          <w:color w:val="1B3A5C"/>
        </w:rPr>
        <w:t>Topic 2: Access Control When “Access Control” Is a Shared Phone</w:t>
      </w:r>
    </w:p>
    <w:p w14:paraId="6CEC3081" w14:textId="65DF25C6" w:rsidR="007E12E8" w:rsidRDefault="000E535A">
      <w:pPr>
        <w:spacing w:after="120" w:line="276" w:lineRule="auto"/>
      </w:pPr>
      <w:r>
        <w:rPr>
          <w:sz w:val="21"/>
          <w:szCs w:val="21"/>
        </w:rPr>
        <w:t>This section addresses a foundational security control (identity and access management) within the specific constraints of LMIC health settings. It covers role-based access in DHIS2 and OpenMRS, the practical challenges of enforcing individual credentials when devices are shared among multiple health workers at a facility, biometric authentication considerations for low-literacy users, and offline-first access models for health posts with intermittent connectivity. The content draws on implementation experience from Rwanda’s national HMIS rollout, the Living Goods community health worker platform in Uganda and Kenya, and the OpenSRP deployment in Pakistan. Participants evaluate a set of actual facility-level access configurations and identify where they fail and what practical alternatives exist.</w:t>
      </w:r>
    </w:p>
    <w:p w14:paraId="6CEC3082" w14:textId="77777777" w:rsidR="007E12E8" w:rsidRDefault="000E535A">
      <w:pPr>
        <w:spacing w:before="200" w:after="80"/>
      </w:pPr>
      <w:r>
        <w:rPr>
          <w:b/>
          <w:bCs/>
          <w:color w:val="1B3A5C"/>
        </w:rPr>
        <w:t>Topic 3: Infrastructure Vulnerabilities Specific to LMIC Health Systems</w:t>
      </w:r>
    </w:p>
    <w:p w14:paraId="6CEC3083" w14:textId="77777777" w:rsidR="007E12E8" w:rsidRDefault="000E535A">
      <w:pPr>
        <w:spacing w:after="120" w:line="276" w:lineRule="auto"/>
      </w:pPr>
      <w:r>
        <w:rPr>
          <w:sz w:val="21"/>
          <w:szCs w:val="21"/>
        </w:rPr>
        <w:t>Covers the infrastructure layer: server rooms without climate control or redundant power, reliance on mobile hotspots and public Wi-Fi for data transmission, absence of automated backup protocols, and the common practice of storing health data on personal devices. Participants examine the data architecture of a representative district health information system and trace where data is at rest, in transit, and vulnerable at each stage.</w:t>
      </w:r>
    </w:p>
    <w:p w14:paraId="6CEC3084" w14:textId="77777777" w:rsidR="007E12E8" w:rsidRDefault="000E535A">
      <w:pPr>
        <w:pStyle w:val="Heading2"/>
      </w:pPr>
      <w:r>
        <w:t>Live Session (90 minutes): Threat Modeling a District Health System</w:t>
      </w:r>
    </w:p>
    <w:p w14:paraId="6CEC3085" w14:textId="77777777" w:rsidR="007E12E8" w:rsidRDefault="000E535A">
      <w:pPr>
        <w:spacing w:after="120" w:line="276" w:lineRule="auto"/>
      </w:pPr>
      <w:r>
        <w:rPr>
          <w:sz w:val="21"/>
          <w:szCs w:val="21"/>
        </w:rPr>
        <w:t xml:space="preserve">Participants work in small groups through a structured threat modeling exercise using a detailed case profile of a fictional but realistic district health system in a West African country. The system includes a DHIS2 instance running on a locally hosted server, community health workers using a mix of personal and program-issued Android devices, and a referral pathway that relies on WhatsApp for communication between health posts and the district hospital. Groups use a modified STRIDE </w:t>
      </w:r>
      <w:r>
        <w:rPr>
          <w:sz w:val="21"/>
          <w:szCs w:val="21"/>
        </w:rPr>
        <w:lastRenderedPageBreak/>
        <w:t>framework adapted for low-resource contexts to identify threats, assess likelihood and impact, and propose mitigation strategies that are actually implementable given the staffing, budget, and infrastructure constraints described in the case. As a bridge to Week 2, each group closes by mapping its top-rated threats to the offenses and statutory duties they would engage under national law, using Nigeria’s Cybercrimes (Prohibition, Prevention, Etc.) Act 2015 (as amended in 2024) as the worked example.</w:t>
      </w:r>
    </w:p>
    <w:p w14:paraId="6CEC3086" w14:textId="77777777" w:rsidR="007E12E8" w:rsidRDefault="000E535A">
      <w:pPr>
        <w:pStyle w:val="Heading2"/>
      </w:pPr>
      <w:r>
        <w:t>Assessment: Security Risk Assessment Report (40% of module grade)</w:t>
      </w:r>
    </w:p>
    <w:p w14:paraId="6CEC3087" w14:textId="77777777" w:rsidR="007E12E8" w:rsidRDefault="000E535A">
      <w:pPr>
        <w:spacing w:after="120" w:line="276" w:lineRule="auto"/>
      </w:pPr>
      <w:r>
        <w:rPr>
          <w:sz w:val="21"/>
          <w:szCs w:val="21"/>
        </w:rPr>
        <w:t>Each participant selects a real or realistic LMIC health information system and produces a structured security risk assessment. The report must include: a system description and data flow diagram; a threat identification section using the adapted STRIDE framework from the live session; a vulnerability analysis that explicitly addresses infrastructure, human capacity, and governance gaps; a risk rating matrix; and a prioritized set of mitigation recommendations with implementation feasibility analysis. The deliverable is 2,000–2,500 words plus diagrams. Grading criteria weight the realism of the analysis and the implementability of the recommendations as heavily as technical accuracy.</w:t>
      </w:r>
    </w:p>
    <w:p w14:paraId="6CEC3088" w14:textId="77777777" w:rsidR="007E12E8" w:rsidRDefault="000E535A">
      <w:pPr>
        <w:spacing w:before="200" w:after="80"/>
      </w:pPr>
      <w:r>
        <w:rPr>
          <w:b/>
          <w:bCs/>
          <w:color w:val="1B3A5C"/>
        </w:rPr>
        <w:t>Week 1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7E12E8" w14:paraId="6CEC308C" w14:textId="77777777">
        <w:tc>
          <w:tcPr>
            <w:tcW w:w="2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89" w14:textId="77777777" w:rsidR="007E12E8" w:rsidRDefault="000E535A">
            <w:r>
              <w:rPr>
                <w:b/>
                <w:bCs/>
                <w:color w:val="FFFFFF"/>
                <w:sz w:val="20"/>
                <w:szCs w:val="20"/>
              </w:rPr>
              <w:t>Component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8A" w14:textId="77777777" w:rsidR="007E12E8" w:rsidRDefault="000E535A">
            <w:r>
              <w:rPr>
                <w:b/>
                <w:bCs/>
                <w:color w:val="FFFFFF"/>
                <w:sz w:val="20"/>
                <w:szCs w:val="20"/>
              </w:rPr>
              <w:t>Content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8B" w14:textId="77777777" w:rsidR="007E12E8" w:rsidRDefault="000E535A">
            <w:r>
              <w:rPr>
                <w:b/>
                <w:bCs/>
                <w:color w:val="FFFFFF"/>
                <w:sz w:val="20"/>
                <w:szCs w:val="20"/>
              </w:rPr>
              <w:t>Details &amp; Activities</w:t>
            </w:r>
          </w:p>
        </w:tc>
      </w:tr>
      <w:tr w:rsidR="007E12E8" w14:paraId="6CEC3094"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8D" w14:textId="77777777" w:rsidR="007E12E8" w:rsidRDefault="000E535A">
            <w:r>
              <w:rPr>
                <w:b/>
                <w:bCs/>
                <w:sz w:val="19"/>
                <w:szCs w:val="19"/>
              </w:rPr>
              <w:t>Async Content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8E" w14:textId="77777777" w:rsidR="007E12E8" w:rsidRDefault="000E535A">
            <w:pPr>
              <w:spacing w:after="60"/>
            </w:pPr>
            <w:r>
              <w:rPr>
                <w:sz w:val="19"/>
                <w:szCs w:val="19"/>
              </w:rPr>
              <w:t>The threat landscape for LMIC health data (documented incidents, insider threats, infrastructure exposure)</w:t>
            </w:r>
          </w:p>
          <w:p w14:paraId="6CEC308F" w14:textId="77777777" w:rsidR="007E12E8" w:rsidRDefault="000E535A">
            <w:pPr>
              <w:spacing w:after="60"/>
            </w:pPr>
            <w:r>
              <w:rPr>
                <w:sz w:val="19"/>
                <w:szCs w:val="19"/>
              </w:rPr>
              <w:t>Access control in shared-device, low-connectivity environments (DHIS2, OpenMRS, OpenSRP case studies)</w:t>
            </w:r>
          </w:p>
          <w:p w14:paraId="6CEC3090" w14:textId="77777777" w:rsidR="007E12E8" w:rsidRDefault="000E535A">
            <w:r>
              <w:rPr>
                <w:sz w:val="19"/>
                <w:szCs w:val="19"/>
              </w:rPr>
              <w:t>Infrastructure vulnerabilities: power, storage, transmission, personal devices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91" w14:textId="77777777" w:rsidR="007E12E8" w:rsidRDefault="000E535A">
            <w:pPr>
              <w:spacing w:after="60"/>
            </w:pPr>
            <w:r>
              <w:rPr>
                <w:sz w:val="19"/>
                <w:szCs w:val="19"/>
              </w:rPr>
              <w:t>Review three documented LMIC health data breaches</w:t>
            </w:r>
          </w:p>
          <w:p w14:paraId="6CEC3092" w14:textId="77777777" w:rsidR="007E12E8" w:rsidRDefault="000E535A">
            <w:pPr>
              <w:spacing w:after="60"/>
            </w:pPr>
            <w:r>
              <w:rPr>
                <w:sz w:val="19"/>
                <w:szCs w:val="19"/>
              </w:rPr>
              <w:t>Evaluate facility-level access configurations</w:t>
            </w:r>
          </w:p>
          <w:p w14:paraId="6CEC3093" w14:textId="77777777" w:rsidR="007E12E8" w:rsidRDefault="000E535A">
            <w:r>
              <w:rPr>
                <w:sz w:val="19"/>
                <w:szCs w:val="19"/>
              </w:rPr>
              <w:t>Trace data flow through a district HIS architecture</w:t>
            </w:r>
          </w:p>
        </w:tc>
      </w:tr>
      <w:tr w:rsidR="007E12E8" w14:paraId="6CEC309A" w14:textId="77777777">
        <w:tc>
          <w:tcPr>
            <w:tcW w:w="22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95" w14:textId="77777777" w:rsidR="007E12E8" w:rsidRDefault="000E535A">
            <w:r>
              <w:rPr>
                <w:b/>
                <w:bCs/>
                <w:sz w:val="19"/>
                <w:szCs w:val="19"/>
              </w:rPr>
              <w:t>Live Session</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96" w14:textId="77777777" w:rsidR="007E12E8" w:rsidRDefault="000E535A">
            <w:r>
              <w:rPr>
                <w:sz w:val="19"/>
                <w:szCs w:val="19"/>
              </w:rPr>
              <w:t>Threat modeling a West African district health system</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97" w14:textId="77777777" w:rsidR="007E12E8" w:rsidRDefault="000E535A">
            <w:pPr>
              <w:spacing w:after="60"/>
            </w:pPr>
            <w:r>
              <w:rPr>
                <w:sz w:val="19"/>
                <w:szCs w:val="19"/>
              </w:rPr>
              <w:t>Small-group exercise using modified STRIDE framework</w:t>
            </w:r>
          </w:p>
          <w:p w14:paraId="6CEC3098" w14:textId="77777777" w:rsidR="007E12E8" w:rsidRDefault="000E535A">
            <w:pPr>
              <w:spacing w:after="60"/>
            </w:pPr>
            <w:r>
              <w:rPr>
                <w:sz w:val="19"/>
                <w:szCs w:val="19"/>
              </w:rPr>
              <w:t>Case includes DHIS2, shared Android devices, WhatsApp referral pathway</w:t>
            </w:r>
          </w:p>
          <w:p w14:paraId="6CEC3099" w14:textId="77777777" w:rsidR="007E12E8" w:rsidRDefault="000E535A">
            <w:r>
              <w:rPr>
                <w:sz w:val="19"/>
                <w:szCs w:val="19"/>
              </w:rPr>
              <w:t>Groups produce threat inventory and constrained mitigation plan</w:t>
            </w:r>
          </w:p>
        </w:tc>
      </w:tr>
      <w:tr w:rsidR="007E12E8" w14:paraId="6CEC30A0"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9B" w14:textId="77777777" w:rsidR="007E12E8" w:rsidRDefault="000E535A">
            <w:r>
              <w:rPr>
                <w:b/>
                <w:bCs/>
                <w:sz w:val="19"/>
                <w:szCs w:val="19"/>
              </w:rPr>
              <w:t>Assessment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9C" w14:textId="77777777" w:rsidR="007E12E8" w:rsidRDefault="000E535A">
            <w:r>
              <w:rPr>
                <w:sz w:val="19"/>
                <w:szCs w:val="19"/>
              </w:rPr>
              <w:t>Security Risk Assessment Report (2,000–2,500 words + diagrams)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9D" w14:textId="77777777" w:rsidR="007E12E8" w:rsidRDefault="000E535A">
            <w:pPr>
              <w:spacing w:after="60"/>
            </w:pPr>
            <w:r>
              <w:rPr>
                <w:sz w:val="19"/>
                <w:szCs w:val="19"/>
              </w:rPr>
              <w:t>Select a real or realistic LMIC HIS</w:t>
            </w:r>
          </w:p>
          <w:p w14:paraId="6CEC309E" w14:textId="77777777" w:rsidR="007E12E8" w:rsidRDefault="000E535A">
            <w:pPr>
              <w:spacing w:after="60"/>
            </w:pPr>
            <w:r>
              <w:rPr>
                <w:sz w:val="19"/>
                <w:szCs w:val="19"/>
              </w:rPr>
              <w:t>Structured threat ID, vulnerability analysis, risk matrix</w:t>
            </w:r>
          </w:p>
          <w:p w14:paraId="6CEC309F" w14:textId="77777777" w:rsidR="007E12E8" w:rsidRDefault="000E535A">
            <w:r>
              <w:rPr>
                <w:sz w:val="19"/>
                <w:szCs w:val="19"/>
              </w:rPr>
              <w:t>Graded on realism and implementability, not just technical accuracy</w:t>
            </w:r>
          </w:p>
        </w:tc>
      </w:tr>
    </w:tbl>
    <w:p w14:paraId="6CEC30A1" w14:textId="77777777" w:rsidR="007E12E8" w:rsidRDefault="000E535A">
      <w:r>
        <w:br w:type="page"/>
      </w:r>
    </w:p>
    <w:p w14:paraId="6CEC30A2" w14:textId="77777777" w:rsidR="007E12E8" w:rsidRDefault="000E535A">
      <w:pPr>
        <w:pStyle w:val="Heading1"/>
      </w:pPr>
      <w:r>
        <w:lastRenderedPageBreak/>
        <w:t>WEEK 2: Privacy, Regulation &amp; Consent in Practice</w:t>
      </w:r>
    </w:p>
    <w:p w14:paraId="6CEC30A3" w14:textId="7118A4C7" w:rsidR="007E12E8" w:rsidRDefault="000E535A">
      <w:pPr>
        <w:spacing w:after="120" w:line="276" w:lineRule="auto"/>
      </w:pPr>
      <w:r>
        <w:rPr>
          <w:sz w:val="21"/>
          <w:szCs w:val="21"/>
        </w:rPr>
        <w:t>Week 2 moves from security to privacy, and specifically to the tension between regulatory frameworks that exist on paper and how health data is actually handled in practice. Many LMIC countries have enacted or are developing data protection legislation: Nigeria’s NDPR, Kenya’s Data Protection Act (2019), India’s Digital Personal Data Protection Act (2023), South Africa’s POPIA. These are real legal instruments with real enforcement mechanisms. But in the health sector specifically, implementation remains uneven, enforcement is rare, and the gap between law and practice is enormous. This week confronts that gap head-on. Alongside these data protection instruments sits a second, older legal layer: cybercrime statutes such as Nigeria’s Cybercrimes (Prohibition, Prevention, Etc.) Act 2015 (as amended in 2024), which criminalize attacks on the systems that hold health data and impose reporting and retention duties of their own. This week treats the two layers together, because facilities answer to both.</w:t>
      </w:r>
    </w:p>
    <w:p w14:paraId="6CEC30A4" w14:textId="77777777" w:rsidR="007E12E8" w:rsidRDefault="000E535A">
      <w:pPr>
        <w:pStyle w:val="Heading2"/>
      </w:pPr>
      <w:r>
        <w:t>Asynchronous Content</w:t>
      </w:r>
    </w:p>
    <w:p w14:paraId="6CEC30A5" w14:textId="7CFE3387" w:rsidR="007E12E8" w:rsidRDefault="000E535A">
      <w:pPr>
        <w:spacing w:before="200" w:after="80"/>
      </w:pPr>
      <w:r>
        <w:rPr>
          <w:b/>
          <w:bCs/>
          <w:color w:val="1B3A5C"/>
        </w:rPr>
        <w:t>Topic 1: The Regulatory Landscape - What Actually Exists</w:t>
      </w:r>
    </w:p>
    <w:p w14:paraId="6CEC30A6" w14:textId="3DCD0710" w:rsidR="007E12E8" w:rsidRDefault="000E535A">
      <w:pPr>
        <w:spacing w:after="120" w:line="276" w:lineRule="auto"/>
      </w:pPr>
      <w:r>
        <w:rPr>
          <w:sz w:val="21"/>
          <w:szCs w:val="21"/>
        </w:rPr>
        <w:t>A comparative analysis of data protection frameworks across four jurisdictions: Nigeria (NDPR/NDPA 2023), Kenya (Data Protection Act 2019), India (DPDP Act 2023), and the African Union Convention on Cyber Security and Personal Data Protection (Malabo Convention). For each, the content covers the scope of the law, how health data is classified and whether it receives special protections, consent requirements, data localization provisions, cross-border transfer restrictions, enforcement mechanisms, and, most critically, the current state of actual enforcement. Participants compare how each framework handles a specific scenario: a ministry of health sharing de-identified surveillance data with an international research consortium.</w:t>
      </w:r>
    </w:p>
    <w:p w14:paraId="36D582F2" w14:textId="77777777" w:rsidR="007E12E8" w:rsidRDefault="000E535A">
      <w:pPr>
        <w:spacing w:before="200" w:after="80"/>
      </w:pPr>
      <w:r>
        <w:rPr>
          <w:b/>
          <w:bCs/>
          <w:color w:val="1B3A5C"/>
        </w:rPr>
        <w:t>Topic 2: The Criminal Law Layer - Nigeria’s Cybercrimes Act in Health Settings</w:t>
      </w:r>
    </w:p>
    <w:p w14:paraId="380D48D8" w14:textId="77777777" w:rsidR="007E12E8" w:rsidRDefault="000E535A">
      <w:pPr>
        <w:spacing w:after="120" w:line="276" w:lineRule="auto"/>
      </w:pPr>
      <w:r>
        <w:rPr>
          <w:sz w:val="21"/>
          <w:szCs w:val="21"/>
        </w:rPr>
        <w:t>Data protection law governs how personal data must be handled. Cybercrime law criminalizes attacks on the systems that hold it and imposes duties of its own, and a health facility answers to both at once. Nigeria’s Cybercrimes (Prohibition, Prevention, Etc.) Act 2015, amended in February 2024, serves as the module’s worked example of this second layer because it speaks to the health sector with unusual directness. The Act’s definition of damage expressly includes impairment that “modifies or impairs the medical examination, diagnosis, treatment or care” of any person (Section 58), and the same definitions section brings mobile phones within the meaning of a computer system. The shared Android devices and WhatsApp workflows examined in Week 1 therefore sit squarely inside the statute’s scope.</w:t>
      </w:r>
    </w:p>
    <w:p w14:paraId="70B05285" w14:textId="77777777" w:rsidR="007E12E8" w:rsidRDefault="000E535A">
      <w:pPr>
        <w:spacing w:after="120" w:line="276" w:lineRule="auto"/>
      </w:pPr>
      <w:r>
        <w:rPr>
          <w:sz w:val="21"/>
          <w:szCs w:val="21"/>
        </w:rPr>
        <w:t>Participants work through the offense provisions most likely to be engaged in health settings, summarized below. The point is not memorization of penalties. It is that conduct facilities often treat as a workflow or disciplinary matter, such as credential sharing, record snooping, or retaliatory deletion of data, can carry personal criminal liability for the individuals involved.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7E12E8" w14:paraId="6CEC30B1" w14:textId="77777777">
        <w:tc>
          <w:tcPr>
            <w:tcW w:w="2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AE" w14:textId="77777777" w:rsidR="007E12E8" w:rsidRDefault="000E535A">
            <w:r>
              <w:rPr>
                <w:b/>
                <w:bCs/>
                <w:color w:val="FFFFFF"/>
                <w:sz w:val="20"/>
                <w:szCs w:val="20"/>
              </w:rPr>
              <w:t>Section(s)</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AF" w14:textId="77777777" w:rsidR="007E12E8" w:rsidRDefault="000E535A">
            <w:r>
              <w:rPr>
                <w:b/>
                <w:bCs/>
                <w:color w:val="FFFFFF"/>
                <w:sz w:val="20"/>
                <w:szCs w:val="20"/>
              </w:rPr>
              <w:t>Provision (paraphrased)</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B0" w14:textId="77777777" w:rsidR="007E12E8" w:rsidRDefault="000E535A">
            <w:r>
              <w:rPr>
                <w:b/>
                <w:bCs/>
                <w:color w:val="FFFFFF"/>
                <w:sz w:val="20"/>
                <w:szCs w:val="20"/>
              </w:rPr>
              <w:t>Health-sector relevance</w:t>
            </w:r>
          </w:p>
        </w:tc>
      </w:tr>
      <w:tr w:rsidR="007E12E8" w14:paraId="6CEC30B9"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B2" w14:textId="77777777" w:rsidR="007E12E8" w:rsidRDefault="000E535A">
            <w:r>
              <w:rPr>
                <w:b/>
                <w:bCs/>
                <w:sz w:val="19"/>
                <w:szCs w:val="19"/>
              </w:rPr>
              <w:t>Section 6</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B3" w14:textId="77777777" w:rsidR="007E12E8" w:rsidRDefault="000E535A">
            <w:pPr>
              <w:spacing w:after="60"/>
            </w:pPr>
            <w:r>
              <w:rPr>
                <w:b/>
                <w:bCs/>
                <w:sz w:val="19"/>
                <w:szCs w:val="19"/>
              </w:rPr>
              <w:t>Unauthorized access to computer systems, with heavier penalties where data or classified material is obtained</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B6" w14:textId="77777777" w:rsidR="007E12E8" w:rsidRDefault="000E535A">
            <w:pPr>
              <w:spacing w:after="60"/>
            </w:pPr>
            <w:r>
              <w:rPr>
                <w:b/>
                <w:bCs/>
                <w:sz w:val="19"/>
                <w:szCs w:val="19"/>
              </w:rPr>
              <w:t>Record snooping by staff; use of stolen or shared credentials to reach patient data</w:t>
            </w:r>
          </w:p>
        </w:tc>
      </w:tr>
      <w:tr w:rsidR="007E12E8" w14:paraId="4964C014"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75AA02B" w14:textId="77777777" w:rsidR="007E12E8" w:rsidRDefault="000E535A">
            <w:r>
              <w:rPr>
                <w:b/>
                <w:bCs/>
                <w:sz w:val="19"/>
                <w:szCs w:val="19"/>
              </w:rPr>
              <w:lastRenderedPageBreak/>
              <w:t>Sections 8 and 16</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ABF622C" w14:textId="77777777" w:rsidR="007E12E8" w:rsidRDefault="000E535A">
            <w:pPr>
              <w:spacing w:after="60"/>
            </w:pPr>
            <w:r>
              <w:rPr>
                <w:b/>
                <w:bCs/>
                <w:sz w:val="19"/>
                <w:szCs w:val="19"/>
              </w:rPr>
              <w:t>System interference and unauthorized modification of data or systems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B25EF94" w14:textId="77777777" w:rsidR="007E12E8" w:rsidRDefault="000E535A">
            <w:pPr>
              <w:spacing w:after="60"/>
            </w:pPr>
            <w:r>
              <w:rPr>
                <w:b/>
                <w:bCs/>
                <w:sz w:val="19"/>
                <w:szCs w:val="19"/>
              </w:rPr>
              <w:t>Ransomware, sabotage, and retaliatory deletion; falsification of stored records</w:t>
            </w:r>
          </w:p>
        </w:tc>
      </w:tr>
      <w:tr w:rsidR="007E12E8" w14:paraId="1E15539E"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929ABC3" w14:textId="77777777" w:rsidR="007E12E8" w:rsidRDefault="000E535A">
            <w:r>
              <w:rPr>
                <w:b/>
                <w:bCs/>
                <w:sz w:val="19"/>
                <w:szCs w:val="19"/>
              </w:rPr>
              <w:t>Sections 13 and 14</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EAF3248" w14:textId="77777777" w:rsidR="007E12E8" w:rsidRDefault="000E535A">
            <w:pPr>
              <w:spacing w:after="60"/>
            </w:pPr>
            <w:r>
              <w:rPr>
                <w:b/>
                <w:bCs/>
                <w:sz w:val="19"/>
                <w:szCs w:val="19"/>
              </w:rPr>
              <w:t>Computer-related forgery and fraud</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7228B0D8" w14:textId="77777777" w:rsidR="007E12E8" w:rsidRDefault="000E535A">
            <w:pPr>
              <w:spacing w:after="60"/>
            </w:pPr>
            <w:r>
              <w:rPr>
                <w:b/>
                <w:bCs/>
                <w:sz w:val="19"/>
                <w:szCs w:val="19"/>
              </w:rPr>
              <w:t>Altered lab results or registers; payroll, claims, and procurement fraud through the HIS</w:t>
            </w:r>
          </w:p>
        </w:tc>
      </w:tr>
      <w:tr w:rsidR="007E12E8" w14:paraId="46A493AD"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335A5B2" w14:textId="77777777" w:rsidR="007E12E8" w:rsidRDefault="000E535A">
            <w:r>
              <w:rPr>
                <w:b/>
                <w:bCs/>
                <w:sz w:val="19"/>
                <w:szCs w:val="19"/>
              </w:rPr>
              <w:t>Section 22</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C227A94" w14:textId="77777777" w:rsidR="007E12E8" w:rsidRDefault="000E535A">
            <w:pPr>
              <w:spacing w:after="60"/>
            </w:pPr>
            <w:r>
              <w:rPr>
                <w:b/>
                <w:bCs/>
                <w:sz w:val="19"/>
                <w:szCs w:val="19"/>
              </w:rPr>
              <w:t>Identity theft and impersonation</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41C53C3C" w14:textId="77777777" w:rsidR="007E12E8" w:rsidRDefault="000E535A">
            <w:pPr>
              <w:spacing w:after="60"/>
            </w:pPr>
            <w:r>
              <w:rPr>
                <w:b/>
                <w:bCs/>
                <w:sz w:val="19"/>
                <w:szCs w:val="19"/>
              </w:rPr>
              <w:t>Medical identity fraud; impersonation of clinicians or facility accounts</w:t>
            </w:r>
          </w:p>
        </w:tc>
      </w:tr>
      <w:tr w:rsidR="007E12E8" w14:paraId="14A14A2E"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2C2316F" w14:textId="77777777" w:rsidR="007E12E8" w:rsidRDefault="000E535A">
            <w:r>
              <w:rPr>
                <w:b/>
                <w:bCs/>
                <w:sz w:val="19"/>
                <w:szCs w:val="19"/>
              </w:rPr>
              <w:t>Section 28</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5EEF4424" w14:textId="77777777" w:rsidR="007E12E8" w:rsidRDefault="000E535A">
            <w:pPr>
              <w:spacing w:after="60"/>
            </w:pPr>
            <w:r>
              <w:rPr>
                <w:b/>
                <w:bCs/>
                <w:sz w:val="19"/>
                <w:szCs w:val="19"/>
              </w:rPr>
              <w:t>Trafficking in passwords and intrusion tools; unlawful disclosure of access codes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1C160A99" w14:textId="77777777" w:rsidR="007E12E8" w:rsidRDefault="000E535A">
            <w:pPr>
              <w:spacing w:after="60"/>
            </w:pPr>
            <w:r>
              <w:rPr>
                <w:b/>
                <w:bCs/>
                <w:sz w:val="19"/>
                <w:szCs w:val="19"/>
              </w:rPr>
              <w:t>Credential-sharing culture; the need for written authorization before any security testing</w:t>
            </w:r>
          </w:p>
        </w:tc>
      </w:tr>
      <w:tr w:rsidR="007E12E8" w14:paraId="21070300"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AA77BD7" w14:textId="77777777" w:rsidR="007E12E8" w:rsidRDefault="000E535A">
            <w:r>
              <w:rPr>
                <w:b/>
                <w:bCs/>
                <w:sz w:val="19"/>
                <w:szCs w:val="19"/>
              </w:rPr>
              <w:t>Section 29</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56469243" w14:textId="77777777" w:rsidR="007E12E8" w:rsidRDefault="000E535A">
            <w:pPr>
              <w:spacing w:after="60"/>
            </w:pPr>
            <w:r>
              <w:rPr>
                <w:b/>
                <w:bCs/>
                <w:sz w:val="19"/>
                <w:szCs w:val="19"/>
              </w:rPr>
              <w:t>Breach of confidence by service providers, with personal liability for directors and officers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660627" w14:textId="77777777" w:rsidR="007E12E8" w:rsidRDefault="000E535A">
            <w:pPr>
              <w:spacing w:after="60"/>
            </w:pPr>
            <w:r>
              <w:rPr>
                <w:b/>
                <w:bCs/>
                <w:sz w:val="19"/>
                <w:szCs w:val="19"/>
              </w:rPr>
              <w:t>Accountability of HIS vendors, hosting providers, and integration contractors</w:t>
            </w:r>
          </w:p>
        </w:tc>
      </w:tr>
      <w:tr w:rsidR="007E12E8" w14:paraId="2A53800F"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50AE228" w14:textId="77777777" w:rsidR="007E12E8" w:rsidRDefault="000E535A">
            <w:r>
              <w:rPr>
                <w:b/>
                <w:bCs/>
                <w:sz w:val="19"/>
                <w:szCs w:val="19"/>
              </w:rPr>
              <w:t>Section 31</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D92D320" w14:textId="77777777" w:rsidR="007E12E8" w:rsidRDefault="000E535A">
            <w:pPr>
              <w:spacing w:after="60"/>
            </w:pPr>
            <w:r>
              <w:rPr>
                <w:b/>
                <w:bCs/>
                <w:sz w:val="19"/>
                <w:szCs w:val="19"/>
              </w:rPr>
              <w:t>Duty to surrender all access codes on leaving employment, with refusal presumed to be leverage</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74BA4E1C" w14:textId="77777777" w:rsidR="007E12E8" w:rsidRDefault="000E535A">
            <w:pPr>
              <w:spacing w:after="60"/>
            </w:pPr>
            <w:r>
              <w:rPr>
                <w:b/>
                <w:bCs/>
                <w:sz w:val="19"/>
                <w:szCs w:val="19"/>
              </w:rPr>
              <w:t>Offboarding controls for clinical, data, and IT staff</w:t>
            </w:r>
          </w:p>
        </w:tc>
      </w:tr>
      <w:tr w:rsidR="007E12E8" w14:paraId="26A7E31E"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0648AE6" w14:textId="77777777" w:rsidR="007E12E8" w:rsidRDefault="000E535A">
            <w:r>
              <w:rPr>
                <w:b/>
                <w:bCs/>
                <w:sz w:val="19"/>
                <w:szCs w:val="19"/>
              </w:rPr>
              <w:t>Section 32</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C319664" w14:textId="77777777" w:rsidR="007E12E8" w:rsidRDefault="000E535A">
            <w:pPr>
              <w:spacing w:after="60"/>
            </w:pPr>
            <w:r>
              <w:rPr>
                <w:b/>
                <w:bCs/>
                <w:sz w:val="19"/>
                <w:szCs w:val="19"/>
              </w:rPr>
              <w:t>Phishing, spamming, and deliberate spread of malware</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5631EF7" w14:textId="77777777" w:rsidR="007E12E8" w:rsidRDefault="000E535A">
            <w:pPr>
              <w:spacing w:after="60"/>
            </w:pPr>
            <w:r>
              <w:rPr>
                <w:b/>
                <w:bCs/>
                <w:sz w:val="19"/>
                <w:szCs w:val="19"/>
              </w:rPr>
              <w:t>The most common initial access vector in documented health-sector incidents</w:t>
            </w:r>
          </w:p>
        </w:tc>
      </w:tr>
    </w:tbl>
    <w:p w14:paraId="11C0B345" w14:textId="77777777" w:rsidR="007E12E8" w:rsidRDefault="000E535A">
      <w:pPr>
        <w:spacing w:after="120" w:line="276" w:lineRule="auto"/>
      </w:pPr>
      <w:r>
        <w:rPr>
          <w:sz w:val="21"/>
          <w:szCs w:val="21"/>
        </w:rPr>
        <w:t>The Act also imposes affirmative duties that belong in facility incident-response planning. Section 21 requires operators of computer systems and networks to report attacks and intrusions; as amended in 2024, the report is routed through sectoral CERTs or security operations centres to the National CERT within 72 hours, replacing the seven-day window in the 2015 text. Section 38 requires service providers to retain traffic data and subscriber information for two years and to release it to law enforcement on request, subject to a constitutional privacy proviso, and Section 39 provides a judicially authorized interception pathway. For threat modeling purposes, Sections 38 and 39 are not background compliance detail. They constitute a designed-in lawful access channel to the metadata of clinical communications, which matters for any referral or reporting workflow that runs over commercial messaging platforms or mobile networks, even where message content is end-to-end encrypted.</w:t>
      </w:r>
    </w:p>
    <w:p w14:paraId="28AA087A" w14:textId="77777777" w:rsidR="007E12E8" w:rsidRDefault="000E535A">
      <w:pPr>
        <w:spacing w:after="120" w:line="276" w:lineRule="auto"/>
      </w:pPr>
      <w:r>
        <w:rPr>
          <w:sz w:val="21"/>
          <w:szCs w:val="21"/>
        </w:rPr>
        <w:t>Two 2024 developments sharpen the health-sector stakes. First, under Sections 3 to 5 the President may designate systems as Critical National Information Infrastructure, and the Designation and Protection of Critical National Information Infrastructure Order 2024 lists health among the thirteen designated sectors. Attacks on covered systems carry penalties of up to ten years, fifteen where grievous bodily harm results, and life imprisonment where death results, and covered systems fall within the audit and inspection remit of the Office of the National Security Adviser. Second, the amendment itself is course material on the gap between enactment and implementation: Section 24 on cyberstalking was narrowed after the ECOWAS Court of Justice found the original wording incompatible with free-expression guarantees, and the restated 0.5 percent cybersecurity levy on scheduled businesses was suspended within two weeks of the Central Bank’s May 2024 implementation circular following public backlash. Where a facility experiences a breach involving personal health data, two statutory clocks now run in parallel: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7E12E8" w14:paraId="1D15C289" w14:textId="77777777">
        <w:tc>
          <w:tcPr>
            <w:tcW w:w="2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1E1402D2" w14:textId="77777777" w:rsidR="007E12E8" w:rsidRDefault="000E535A">
            <w:r>
              <w:rPr>
                <w:b/>
                <w:bCs/>
                <w:color w:val="FFFFFF"/>
                <w:sz w:val="20"/>
                <w:szCs w:val="20"/>
              </w:rPr>
              <w:t>Dimension</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00BCE53F" w14:textId="77777777" w:rsidR="007E12E8" w:rsidRDefault="000E535A">
            <w:r>
              <w:rPr>
                <w:b/>
                <w:bCs/>
                <w:color w:val="FFFFFF"/>
                <w:sz w:val="20"/>
                <w:szCs w:val="20"/>
              </w:rPr>
              <w:t>NDPA 2023</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9B342C7" w14:textId="77777777" w:rsidR="007E12E8" w:rsidRDefault="000E535A">
            <w:r>
              <w:rPr>
                <w:b/>
                <w:bCs/>
                <w:color w:val="FFFFFF"/>
                <w:sz w:val="20"/>
                <w:szCs w:val="20"/>
              </w:rPr>
              <w:t>Cybercrimes Act 2015 (as amended 2024)</w:t>
            </w:r>
          </w:p>
        </w:tc>
      </w:tr>
      <w:tr w:rsidR="007E12E8" w14:paraId="62D36654"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6D4B279" w14:textId="77777777" w:rsidR="007E12E8" w:rsidRDefault="000E535A">
            <w:r>
              <w:rPr>
                <w:b/>
                <w:bCs/>
                <w:sz w:val="19"/>
                <w:szCs w:val="19"/>
              </w:rPr>
              <w:lastRenderedPageBreak/>
              <w:t>Trigger</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8CFA859" w14:textId="77777777" w:rsidR="007E12E8" w:rsidRDefault="000E535A">
            <w:pPr>
              <w:spacing w:after="60"/>
            </w:pPr>
            <w:r>
              <w:rPr>
                <w:b/>
                <w:bCs/>
                <w:sz w:val="19"/>
                <w:szCs w:val="19"/>
              </w:rPr>
              <w:t>Personal data breach likely to cause harm to data subjects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17A1063" w14:textId="77777777" w:rsidR="007E12E8" w:rsidRDefault="000E535A">
            <w:pPr>
              <w:spacing w:after="60"/>
            </w:pPr>
            <w:r>
              <w:rPr>
                <w:b/>
                <w:bCs/>
                <w:sz w:val="19"/>
                <w:szCs w:val="19"/>
              </w:rPr>
              <w:t>Any attack, intrusion, or disruption affecting a computer system or network</w:t>
            </w:r>
          </w:p>
        </w:tc>
      </w:tr>
      <w:tr w:rsidR="007E12E8" w14:paraId="4A8D7E6B"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3097F7A" w14:textId="77777777" w:rsidR="007E12E8" w:rsidRDefault="000E535A">
            <w:r>
              <w:rPr>
                <w:b/>
                <w:bCs/>
                <w:sz w:val="19"/>
                <w:szCs w:val="19"/>
              </w:rPr>
              <w:t>Recipient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7E6C58C9" w14:textId="77777777" w:rsidR="007E12E8" w:rsidRDefault="000E535A">
            <w:pPr>
              <w:spacing w:after="60"/>
            </w:pPr>
            <w:r>
              <w:rPr>
                <w:b/>
                <w:bCs/>
                <w:sz w:val="19"/>
                <w:szCs w:val="19"/>
              </w:rPr>
              <w:t>Nigeria Data Protection Commission; affected data subjects where risk is high</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1D9725AF" w14:textId="77777777" w:rsidR="007E12E8" w:rsidRDefault="000E535A">
            <w:pPr>
              <w:spacing w:after="60"/>
            </w:pPr>
            <w:r>
              <w:rPr>
                <w:b/>
                <w:bCs/>
                <w:sz w:val="19"/>
                <w:szCs w:val="19"/>
              </w:rPr>
              <w:t>National CERT, routed through the relevant sectoral CERT or security operations centre</w:t>
            </w:r>
          </w:p>
        </w:tc>
      </w:tr>
      <w:tr w:rsidR="007E12E8" w14:paraId="0E20C1B8"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137B287" w14:textId="77777777" w:rsidR="007E12E8" w:rsidRDefault="000E535A">
            <w:r>
              <w:rPr>
                <w:b/>
                <w:bCs/>
                <w:sz w:val="19"/>
                <w:szCs w:val="19"/>
              </w:rPr>
              <w:t>Timeline</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40C8AED9" w14:textId="77777777" w:rsidR="007E12E8" w:rsidRDefault="000E535A">
            <w:pPr>
              <w:spacing w:after="60"/>
            </w:pPr>
            <w:r>
              <w:rPr>
                <w:b/>
                <w:bCs/>
                <w:sz w:val="19"/>
                <w:szCs w:val="19"/>
              </w:rPr>
              <w:t>72 hours from becoming aware of the breach</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DE89172" w14:textId="77777777" w:rsidR="007E12E8" w:rsidRDefault="000E535A">
            <w:pPr>
              <w:spacing w:after="60"/>
            </w:pPr>
            <w:r>
              <w:rPr>
                <w:b/>
                <w:bCs/>
                <w:sz w:val="19"/>
                <w:szCs w:val="19"/>
              </w:rPr>
              <w:t>72 hours from occurrence (seven days under the 2015 text)</w:t>
            </w:r>
          </w:p>
        </w:tc>
      </w:tr>
      <w:tr w:rsidR="007E12E8" w14:paraId="7DE2FB76"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19B47AB3" w14:textId="77777777" w:rsidR="007E12E8" w:rsidRDefault="000E535A">
            <w:r>
              <w:rPr>
                <w:b/>
                <w:bCs/>
                <w:sz w:val="19"/>
                <w:szCs w:val="19"/>
              </w:rPr>
              <w:t>Consequence of failure</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BD3EA1D" w14:textId="77777777" w:rsidR="007E12E8" w:rsidRDefault="000E535A">
            <w:pPr>
              <w:spacing w:after="60"/>
            </w:pPr>
            <w:r>
              <w:rPr>
                <w:b/>
                <w:bCs/>
                <w:sz w:val="19"/>
                <w:szCs w:val="19"/>
              </w:rPr>
              <w:t>Administrative enforcement and penalties under the NDPA</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4BC92025" w14:textId="77777777" w:rsidR="007E12E8" w:rsidRDefault="000E535A">
            <w:pPr>
              <w:spacing w:after="60"/>
            </w:pPr>
            <w:r>
              <w:rPr>
                <w:b/>
                <w:bCs/>
                <w:sz w:val="19"/>
                <w:szCs w:val="19"/>
              </w:rPr>
              <w:t>Statutory fine remitted to the National Cyber Security Fund; denial of internet services</w:t>
            </w:r>
          </w:p>
        </w:tc>
      </w:tr>
      <w:tr w:rsidR="007E12E8" w14:paraId="54C3CB08"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07D5DDC6" w14:textId="77777777" w:rsidR="007E12E8" w:rsidRDefault="000E535A">
            <w:r>
              <w:rPr>
                <w:b/>
                <w:bCs/>
                <w:sz w:val="19"/>
                <w:szCs w:val="19"/>
              </w:rPr>
              <w:t>Facility owner</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2A9AACE" w14:textId="77777777" w:rsidR="007E12E8" w:rsidRDefault="000E535A">
            <w:pPr>
              <w:spacing w:after="60"/>
            </w:pPr>
            <w:r>
              <w:rPr>
                <w:b/>
                <w:bCs/>
                <w:sz w:val="19"/>
                <w:szCs w:val="19"/>
              </w:rPr>
              <w:t>Data Protection Officer</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320A6B51" w14:textId="77777777" w:rsidR="007E12E8" w:rsidRDefault="000E535A">
            <w:pPr>
              <w:spacing w:after="60"/>
            </w:pPr>
            <w:r>
              <w:rPr>
                <w:b/>
                <w:bCs/>
                <w:sz w:val="19"/>
                <w:szCs w:val="19"/>
              </w:rPr>
              <w:t>HIS or IT lead, jointly with the Data Protection Officer</w:t>
            </w:r>
          </w:p>
        </w:tc>
      </w:tr>
    </w:tbl>
    <w:p w14:paraId="7650CC1E" w14:textId="77777777" w:rsidR="007E12E8" w:rsidRDefault="000E535A">
      <w:pPr>
        <w:spacing w:after="120" w:line="276" w:lineRule="auto"/>
      </w:pPr>
      <w:r>
        <w:rPr>
          <w:sz w:val="21"/>
          <w:szCs w:val="21"/>
        </w:rPr>
        <w:t>The topic closes with two integrative moves. Participants return to their Week 1 threat models and annotate them against the statute, identifying which threats are offenses, which duties carry statutory clocks, and which lawful-access powers must be designed around rather than wished away. They then generalize the pattern: Kenya’s Computer Misuse and Cybercrimes Act 2018 sits beside its Data Protection Act in the same dual-layer arrangement, and participants identify the equivalent pairing in their own jurisdictions ahead of the live session.</w:t>
      </w:r>
    </w:p>
    <w:p w14:paraId="6CEC30A7" w14:textId="77777777" w:rsidR="007E12E8" w:rsidRDefault="000E535A">
      <w:pPr>
        <w:spacing w:before="200" w:after="80"/>
      </w:pPr>
      <w:r>
        <w:rPr>
          <w:b/>
          <w:bCs/>
          <w:color w:val="1B3A5C"/>
        </w:rPr>
        <w:t>Topic 3: Consent in Communities Where Consent Is Complicated</w:t>
      </w:r>
    </w:p>
    <w:p w14:paraId="6CEC30A8" w14:textId="41407596" w:rsidR="007E12E8" w:rsidRDefault="000E535A">
      <w:pPr>
        <w:spacing w:after="120" w:line="276" w:lineRule="auto"/>
      </w:pPr>
      <w:r>
        <w:rPr>
          <w:sz w:val="21"/>
          <w:szCs w:val="21"/>
        </w:rPr>
        <w:t>This is one of the most important sections in the module. Standard consent models (individual opt-in, written informed consent, granular data-use preferences) assume literacy, individual autonomy, and a cultural context in which refusing authority is straightforward. In many LMIC health settings, none of those assumptions hold. This section examines: community versus individual consent models; consent in the context of power imbalances between health workers and patients; the meaningfulness of consent when the alternative is no care; verbal consent protocols and their evidentiary limitations; consent for secondary data use including research and AI training; and special considerations for consent involving children, adolescents seeking reproductive health services, and marginalized populations. Case material draws on documented consent challenges from the Demographic and Health Surveys program, the Human Heredity and Health in Africa (H3Africa) consortium, and community health worker programs in Malawi and Ethiopia.</w:t>
      </w:r>
    </w:p>
    <w:p w14:paraId="6CEC30A9" w14:textId="77777777" w:rsidR="007E12E8" w:rsidRDefault="000E535A">
      <w:pPr>
        <w:spacing w:before="200" w:after="80"/>
      </w:pPr>
      <w:r>
        <w:rPr>
          <w:b/>
          <w:bCs/>
          <w:color w:val="1B3A5C"/>
        </w:rPr>
        <w:t>Topic 4: When Regulation Meets WhatsApp</w:t>
      </w:r>
    </w:p>
    <w:p w14:paraId="6CEC30AA" w14:textId="77777777" w:rsidR="007E12E8" w:rsidRDefault="000E535A">
      <w:pPr>
        <w:spacing w:after="120" w:line="276" w:lineRule="auto"/>
      </w:pPr>
      <w:r>
        <w:rPr>
          <w:sz w:val="21"/>
          <w:szCs w:val="21"/>
        </w:rPr>
        <w:t>A focused examination of a ubiquitous and almost entirely unregulated practice: the use of WhatsApp and other consumer messaging platforms for clinical communication in LMIC health systems. Participants review documented evidence of how WhatsApp is used for patient referrals (including sharing of photos, lab results, and identifying information), clinical decision support conversations, disease surveillance reporting, and supply chain coordination. The content maps these practices against the regulatory requirements covered in Topic 1 and asks participants to identify which specific legal provisions are being violated, why enforcement has not occurred, and what realistic alternatives exist that do not eliminate the operational benefits these tools provide.</w:t>
      </w:r>
    </w:p>
    <w:p w14:paraId="6CEC30AB" w14:textId="77777777" w:rsidR="007E12E8" w:rsidRDefault="000E535A">
      <w:pPr>
        <w:pStyle w:val="Heading2"/>
      </w:pPr>
      <w:r>
        <w:t>Live Session (90 minutes): The WhatsApp Problem</w:t>
      </w:r>
    </w:p>
    <w:p w14:paraId="6CEC30AC" w14:textId="77777777" w:rsidR="007E12E8" w:rsidRDefault="000E535A">
      <w:pPr>
        <w:spacing w:after="120" w:line="276" w:lineRule="auto"/>
      </w:pPr>
      <w:r>
        <w:rPr>
          <w:sz w:val="21"/>
          <w:szCs w:val="21"/>
        </w:rPr>
        <w:lastRenderedPageBreak/>
        <w:t>A structured case discussion built around a composite scenario: a maternal health referral network in East Africa where community health workers, midwives, and obstetricians use a WhatsApp group to coordinate emergency referrals. The group contains patient names, gestational ages, HIV status, photos of partographs, and voice messages describing complications. A journalist discovers the group and publishes a story. Participants work through the regulatory analysis, the consent failures, the operational dependencies, and a transition plan toward a compliant alternative. The session is designed to resist easy answers: the WhatsApp group has directly contributed to faster referral times and reduced maternal mortality in the catchment area. Participants must grapple with the tradeoff between privacy compliance and operational effectiveness. Participants also run the criminal law layer comparatively: treating the network as if it operated in Nigeria, they identify what the Cybercrimes Act would add to the analysis, including the 72-hour incident reporting duty, the two-year retention of messaging metadata by mobile network operators under Section 38 even where message content is end-to-end encrypted, and the exposure of individual staff under the access and disclosure offenses, and then locate the equivalent provisions in Kenyan law.</w:t>
      </w:r>
    </w:p>
    <w:p w14:paraId="6CEC30AD" w14:textId="77777777" w:rsidR="007E12E8" w:rsidRDefault="000E535A">
      <w:pPr>
        <w:spacing w:before="200" w:after="80"/>
      </w:pPr>
      <w:r>
        <w:rPr>
          <w:b/>
          <w:bCs/>
          <w:color w:val="1B3A5C"/>
        </w:rPr>
        <w:t>Week 2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7E12E8" w14:paraId="090F1D5F" w14:textId="77777777">
        <w:tc>
          <w:tcPr>
            <w:tcW w:w="2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14B38F6A" w14:textId="77777777" w:rsidR="007E12E8" w:rsidRDefault="000E535A">
            <w:r>
              <w:rPr>
                <w:b/>
                <w:bCs/>
                <w:color w:val="FFFFFF"/>
                <w:sz w:val="20"/>
                <w:szCs w:val="20"/>
              </w:rPr>
              <w:t>Component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47919A5E" w14:textId="77777777" w:rsidR="007E12E8" w:rsidRDefault="000E535A">
            <w:r>
              <w:rPr>
                <w:b/>
                <w:bCs/>
                <w:color w:val="FFFFFF"/>
                <w:sz w:val="20"/>
                <w:szCs w:val="20"/>
              </w:rPr>
              <w:t>Content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37DBDF37" w14:textId="77777777" w:rsidR="007E12E8" w:rsidRDefault="000E535A">
            <w:r>
              <w:rPr>
                <w:b/>
                <w:bCs/>
                <w:color w:val="FFFFFF"/>
                <w:sz w:val="20"/>
                <w:szCs w:val="20"/>
              </w:rPr>
              <w:t>Details &amp; Activities</w:t>
            </w:r>
          </w:p>
        </w:tc>
      </w:tr>
      <w:tr w:rsidR="007E12E8" w14:paraId="73F2CC01"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23E67791" w14:textId="77777777" w:rsidR="007E12E8" w:rsidRDefault="000E535A">
            <w:r>
              <w:rPr>
                <w:b/>
                <w:bCs/>
                <w:sz w:val="19"/>
                <w:szCs w:val="19"/>
              </w:rPr>
              <w:t>Async Content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5B85B60A" w14:textId="77777777" w:rsidR="007E12E8" w:rsidRDefault="000E535A">
            <w:pPr>
              <w:spacing w:after="60"/>
            </w:pPr>
            <w:r>
              <w:rPr>
                <w:sz w:val="19"/>
                <w:szCs w:val="19"/>
              </w:rPr>
              <w:t>Comparative regulatory analysis: NDPR, Kenya DPA, India DPDP Act, Malabo Convention</w:t>
            </w:r>
          </w:p>
          <w:p w14:paraId="6CEC30B4" w14:textId="77777777" w:rsidR="007E12E8" w:rsidRDefault="000E535A">
            <w:pPr>
              <w:spacing w:after="60"/>
            </w:pPr>
            <w:r>
              <w:rPr>
                <w:sz w:val="19"/>
                <w:szCs w:val="19"/>
              </w:rPr>
              <w:t>Consent models: individual vs. community, power dynamics, special populations</w:t>
            </w:r>
          </w:p>
          <w:p w14:paraId="6CEC30B5" w14:textId="77777777" w:rsidR="007E12E8" w:rsidRDefault="000E535A">
            <w:r>
              <w:rPr>
                <w:sz w:val="19"/>
                <w:szCs w:val="19"/>
              </w:rPr>
              <w:t>WhatsApp as clinical infrastructure: mapping practice against regulation</w:t>
            </w:r>
          </w:p>
          <w:p w14:paraId="33A57899" w14:textId="77777777" w:rsidR="007E12E8" w:rsidRDefault="000E535A">
            <w:r>
              <w:rPr>
                <w:sz w:val="19"/>
                <w:szCs w:val="19"/>
              </w:rPr>
              <w:t>The criminal law layer: Nigeria’s Cybercrimes Act 2015 (as amended 2024): offense map, statutory duties, CNII designation</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E104CB0" w14:textId="77777777" w:rsidR="007E12E8" w:rsidRDefault="000E535A">
            <w:pPr>
              <w:spacing w:after="60"/>
            </w:pPr>
            <w:r>
              <w:rPr>
                <w:sz w:val="19"/>
                <w:szCs w:val="19"/>
              </w:rPr>
              <w:t>Cross-jurisdictional comparison exercise (data-sharing scenario)</w:t>
            </w:r>
          </w:p>
          <w:p w14:paraId="6CEC30B7" w14:textId="77777777" w:rsidR="007E12E8" w:rsidRDefault="000E535A">
            <w:pPr>
              <w:spacing w:after="60"/>
            </w:pPr>
            <w:r>
              <w:rPr>
                <w:sz w:val="19"/>
                <w:szCs w:val="19"/>
              </w:rPr>
              <w:t>Consent protocol analysis from DHS, H3Africa, CHW programs</w:t>
            </w:r>
          </w:p>
          <w:p w14:paraId="6CEC30B8" w14:textId="77777777" w:rsidR="007E12E8" w:rsidRDefault="000E535A">
            <w:r>
              <w:rPr>
                <w:sz w:val="19"/>
                <w:szCs w:val="19"/>
              </w:rPr>
              <w:t>Document WhatsApp clinical data flows and identify legal violations</w:t>
            </w:r>
          </w:p>
          <w:p w14:paraId="025AE43E" w14:textId="77777777" w:rsidR="007E12E8" w:rsidRDefault="000E535A">
            <w:r>
              <w:rPr>
                <w:sz w:val="19"/>
                <w:szCs w:val="19"/>
              </w:rPr>
              <w:t>Dual-track breach reporting exercise (NDPA and Cybercrimes Act clocks)</w:t>
            </w:r>
          </w:p>
        </w:tc>
      </w:tr>
      <w:tr w:rsidR="007E12E8" w14:paraId="6CEC30BF" w14:textId="77777777">
        <w:tc>
          <w:tcPr>
            <w:tcW w:w="22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BA" w14:textId="77777777" w:rsidR="007E12E8" w:rsidRDefault="000E535A">
            <w:r>
              <w:rPr>
                <w:b/>
                <w:bCs/>
                <w:sz w:val="19"/>
                <w:szCs w:val="19"/>
              </w:rPr>
              <w:t>Live Session</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BB" w14:textId="77777777" w:rsidR="007E12E8" w:rsidRDefault="000E535A">
            <w:r>
              <w:rPr>
                <w:sz w:val="19"/>
                <w:szCs w:val="19"/>
              </w:rPr>
              <w:t>The WhatsApp Problem: maternal health referral case in East Africa</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BC" w14:textId="77777777" w:rsidR="007E12E8" w:rsidRDefault="000E535A">
            <w:pPr>
              <w:spacing w:after="60"/>
            </w:pPr>
            <w:r>
              <w:rPr>
                <w:sz w:val="19"/>
                <w:szCs w:val="19"/>
              </w:rPr>
              <w:t>Composite case: WhatsApp group with clinical data exposed by journalist</w:t>
            </w:r>
          </w:p>
          <w:p w14:paraId="6CEC30BD" w14:textId="77777777" w:rsidR="007E12E8" w:rsidRDefault="000E535A">
            <w:pPr>
              <w:spacing w:after="60"/>
            </w:pPr>
            <w:r>
              <w:rPr>
                <w:sz w:val="19"/>
                <w:szCs w:val="19"/>
              </w:rPr>
              <w:t>Regulatory analysis, consent failures, operational dependency assessment</w:t>
            </w:r>
          </w:p>
          <w:p w14:paraId="6CEC30BE" w14:textId="77777777" w:rsidR="007E12E8" w:rsidRDefault="000E535A">
            <w:r>
              <w:rPr>
                <w:sz w:val="19"/>
                <w:szCs w:val="19"/>
              </w:rPr>
              <w:t>Develop transition plan balancing privacy and operational effectiveness</w:t>
            </w:r>
          </w:p>
          <w:p w14:paraId="44892605" w14:textId="77777777" w:rsidR="007E12E8" w:rsidRDefault="000E535A">
            <w:r>
              <w:rPr>
                <w:sz w:val="19"/>
                <w:szCs w:val="19"/>
              </w:rPr>
              <w:t>Comparative criminal-law pass: Cybercrimes Act duties and metadata retention</w:t>
            </w:r>
          </w:p>
        </w:tc>
      </w:tr>
      <w:tr w:rsidR="007E12E8" w14:paraId="6CEC30C4"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C0" w14:textId="77777777" w:rsidR="007E12E8" w:rsidRDefault="000E535A">
            <w:r>
              <w:rPr>
                <w:b/>
                <w:bCs/>
                <w:sz w:val="19"/>
                <w:szCs w:val="19"/>
              </w:rPr>
              <w:t>Assessment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C1" w14:textId="77777777" w:rsidR="007E12E8" w:rsidRDefault="000E535A">
            <w:r>
              <w:rPr>
                <w:sz w:val="19"/>
                <w:szCs w:val="19"/>
              </w:rPr>
              <w:t>No standalone assessment this week (contributes to final case analysis)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C2" w14:textId="77777777" w:rsidR="007E12E8" w:rsidRDefault="000E535A">
            <w:pPr>
              <w:spacing w:after="60"/>
            </w:pPr>
            <w:r>
              <w:rPr>
                <w:sz w:val="19"/>
                <w:szCs w:val="19"/>
              </w:rPr>
              <w:t>Readings and session participation inform final deliverable</w:t>
            </w:r>
          </w:p>
          <w:p w14:paraId="6CEC30C3" w14:textId="77777777" w:rsidR="007E12E8" w:rsidRDefault="000E535A">
            <w:r>
              <w:rPr>
                <w:sz w:val="19"/>
                <w:szCs w:val="19"/>
              </w:rPr>
              <w:t>Optional: regulatory mapping worksheet for self-assessment</w:t>
            </w:r>
          </w:p>
        </w:tc>
      </w:tr>
    </w:tbl>
    <w:p w14:paraId="6CEC30C5" w14:textId="77777777" w:rsidR="007E12E8" w:rsidRDefault="000E535A">
      <w:r>
        <w:br w:type="page"/>
      </w:r>
    </w:p>
    <w:p w14:paraId="6CEC30C6" w14:textId="77777777" w:rsidR="007E12E8" w:rsidRDefault="000E535A">
      <w:pPr>
        <w:pStyle w:val="Heading1"/>
      </w:pPr>
      <w:r>
        <w:lastRenderedPageBreak/>
        <w:t>WEEK 3: Ethics, Data Sovereignty &amp; Governance</w:t>
      </w:r>
    </w:p>
    <w:p w14:paraId="6CEC30C7" w14:textId="77777777" w:rsidR="007E12E8" w:rsidRDefault="000E535A">
      <w:pPr>
        <w:spacing w:after="120" w:line="276" w:lineRule="auto"/>
      </w:pPr>
      <w:r>
        <w:rPr>
          <w:sz w:val="21"/>
          <w:szCs w:val="21"/>
        </w:rPr>
        <w:t>Week 3 tackles the governance questions that regulation alone cannot answer. These are the questions that sit at the intersection of technology, power, and justice in global health: Who owns the health data generated by donor-funded programs in sovereign nations? When an AI model is trained on clinical data from African health systems and commercialized by a company in the Global North, who benefits and who bears the risk? When a government builds a biometric health identity system, what happens to populations that have rational reasons to avoid identification? This week does not pretend these questions have clean answers. It gives participants the frameworks to reason through them rigorously.</w:t>
      </w:r>
    </w:p>
    <w:p w14:paraId="6CEC30C8" w14:textId="77777777" w:rsidR="007E12E8" w:rsidRDefault="000E535A">
      <w:pPr>
        <w:pStyle w:val="Heading2"/>
      </w:pPr>
      <w:r>
        <w:t>Asynchronous Content</w:t>
      </w:r>
    </w:p>
    <w:p w14:paraId="6CEC30C9" w14:textId="77777777" w:rsidR="007E12E8" w:rsidRDefault="000E535A">
      <w:pPr>
        <w:spacing w:before="200" w:after="80"/>
      </w:pPr>
      <w:r>
        <w:rPr>
          <w:b/>
          <w:bCs/>
          <w:color w:val="1B3A5C"/>
        </w:rPr>
        <w:t>Topic 1: Algorithmic Bias and AI Risk in LMIC Health Applications</w:t>
      </w:r>
    </w:p>
    <w:p w14:paraId="6CEC30CA" w14:textId="77777777" w:rsidR="007E12E8" w:rsidRDefault="000E535A">
      <w:pPr>
        <w:spacing w:after="120" w:line="276" w:lineRule="auto"/>
      </w:pPr>
      <w:r>
        <w:rPr>
          <w:sz w:val="21"/>
          <w:szCs w:val="21"/>
        </w:rPr>
        <w:t>A grounded examination of AI and machine learning applications being deployed or piloted in LMIC health systems, and the specific ethical risks they introduce. Content covers: diagnostic AI tools trained predominantly on data from high-income country populations and deployed in settings with different disease prevalence, demographics, and clinical presentation patterns; predictive models used for resource allocation that may encode and perpetuate existing inequities; natural language processing tools that perform poorly in local languages and dialects; and the absence of regulatory frameworks for health AI in most LMIC jurisdictions. Case studies include the performance disparities documented in dermatology AI across skin tones, the debate around Google’s retinal screening AI deployment in Thailand, and the use of predictive analytics in maternal mortality risk scoring in India.</w:t>
      </w:r>
    </w:p>
    <w:p w14:paraId="6CEC30CB" w14:textId="77777777" w:rsidR="007E12E8" w:rsidRDefault="000E535A">
      <w:pPr>
        <w:spacing w:before="200" w:after="80"/>
      </w:pPr>
      <w:r>
        <w:rPr>
          <w:b/>
          <w:bCs/>
          <w:color w:val="1B3A5C"/>
        </w:rPr>
        <w:t>Topic 2: Data Sovereignty and the Politics of Health Data</w:t>
      </w:r>
    </w:p>
    <w:p w14:paraId="6CEC30CC" w14:textId="77777777" w:rsidR="007E12E8" w:rsidRDefault="000E535A">
      <w:pPr>
        <w:spacing w:after="120" w:line="276" w:lineRule="auto"/>
      </w:pPr>
      <w:r>
        <w:rPr>
          <w:sz w:val="21"/>
          <w:szCs w:val="21"/>
        </w:rPr>
        <w:t>This section examines who controls LMIC health data and why it matters. Topics include: data localization requirements and their relationship to national sovereignty; the dynamics of donor-funded data systems where technical infrastructure, analysis capacity, and sometimes the data itself reside outside the country; the terms and conditions embedded in health information system licensing agreements; the growing tension between open-data mandates from global health funders and national data sovereignty positions; and the CARE Principles for Indigenous Data Governance as a framework that extends beyond consent to encompass collective benefit, authority to control, responsibility, and ethics. Participants analyze a real data-sharing agreement between a national ministry of health and an international implementing partner, identifying provisions that protect or undermine national data sovereignty.</w:t>
      </w:r>
    </w:p>
    <w:p w14:paraId="6CEC30CD" w14:textId="77777777" w:rsidR="007E12E8" w:rsidRDefault="000E535A">
      <w:pPr>
        <w:spacing w:before="200" w:after="80"/>
      </w:pPr>
      <w:r>
        <w:rPr>
          <w:b/>
          <w:bCs/>
          <w:color w:val="1B3A5C"/>
        </w:rPr>
        <w:t>Topic 3: Community Data Ownership and Accountability</w:t>
      </w:r>
    </w:p>
    <w:p w14:paraId="6CEC30CE" w14:textId="77777777" w:rsidR="007E12E8" w:rsidRDefault="000E535A">
      <w:pPr>
        <w:spacing w:after="120" w:line="276" w:lineRule="auto"/>
      </w:pPr>
      <w:r>
        <w:rPr>
          <w:sz w:val="21"/>
          <w:szCs w:val="21"/>
        </w:rPr>
        <w:t>Moves from national to community level. Covers models of community data governance, participatory approaches to health data use decisions, accountability mechanisms for data misuse, and the rights of communities to benefit from data generated about them. Draws on examples from the First Nations Information Governance Centre’s OCAP principles, community health data governance models piloted by Last Mile Health in Liberia, and the emerging discourse on data trusts for health data in the Global South.</w:t>
      </w:r>
    </w:p>
    <w:p w14:paraId="6CEC30CF" w14:textId="77777777" w:rsidR="007E12E8" w:rsidRDefault="000E535A">
      <w:pPr>
        <w:pStyle w:val="Heading2"/>
      </w:pPr>
      <w:r>
        <w:t>Live Session (90 minutes): The Ethics Case</w:t>
      </w:r>
    </w:p>
    <w:p w14:paraId="6CEC30D0" w14:textId="77777777" w:rsidR="007E12E8" w:rsidRDefault="000E535A">
      <w:pPr>
        <w:spacing w:after="120" w:line="276" w:lineRule="auto"/>
      </w:pPr>
      <w:r>
        <w:rPr>
          <w:sz w:val="21"/>
          <w:szCs w:val="21"/>
        </w:rPr>
        <w:lastRenderedPageBreak/>
        <w:t>Participants receive a detailed case study drawn from a composite of real events: a large global health organization has funded a digital health platform in three East African countries. The platform collects granular, individual-level data on maternal and child health services. The organization now proposes to make a de-identified version of this dataset available to a machine learning consortium that includes a private-sector health technology company, in order to develop a predictive model for maternal mortality risk. The three countries have different legal frameworks, different positions on data sovereignty, and different levels of technical capacity to evaluate the proposal. Participants work through the case using a structured ethical reasoning framework, considering the interests of multiple stakeholders: patients who generated the data, community health workers who collected it, national governments who have regulatory authority, the global health organization that funded the system, and the ML consortium that wants to use it.</w:t>
      </w:r>
    </w:p>
    <w:p w14:paraId="6CEC30D1" w14:textId="77777777" w:rsidR="007E12E8" w:rsidRDefault="000E535A">
      <w:pPr>
        <w:pStyle w:val="Heading2"/>
      </w:pPr>
      <w:r>
        <w:t>Final Assessment: Ethics Case Analysis (60% of module grade)</w:t>
      </w:r>
    </w:p>
    <w:p w14:paraId="6CEC30D2" w14:textId="77777777" w:rsidR="007E12E8" w:rsidRDefault="000E535A">
      <w:pPr>
        <w:spacing w:after="120" w:line="276" w:lineRule="auto"/>
      </w:pPr>
      <w:r>
        <w:rPr>
          <w:sz w:val="21"/>
          <w:szCs w:val="21"/>
        </w:rPr>
        <w:t>Participants produce a structured ethical analysis of a case involving LMIC health data governance. They may use the case from the live session or select an alternative scenario from a provided set (each involving a documented or realistic LMIC health data governance dilemma). The analysis must include: a stakeholder mapping that identifies interests, power, and vulnerability; application of at least two ethical frameworks (participants may draw from principlism, Ubuntu ethics, feminist ethics of care, the CARE Principles, or other established frameworks); a regulatory analysis identifying applicable legal instruments and their limitations; a clear recommendation with justification; and an implementation plan that addresses the practical constraints of the setting. The deliverable is 3,000–3,500 words. Grading criteria emphasize the quality of ethical reasoning, the sophistication of the stakeholder analysis, and the extent to which the recommendation is grounded in the realities of the setting rather than abstract principle.</w:t>
      </w:r>
    </w:p>
    <w:p w14:paraId="6CEC30D3" w14:textId="77777777" w:rsidR="007E12E8" w:rsidRDefault="000E535A">
      <w:pPr>
        <w:spacing w:before="200" w:after="80"/>
      </w:pPr>
      <w:r>
        <w:rPr>
          <w:b/>
          <w:bCs/>
          <w:color w:val="1B3A5C"/>
        </w:rPr>
        <w:t>Week 3 At a Glance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7E12E8" w14:paraId="6CEC30D7" w14:textId="77777777">
        <w:tc>
          <w:tcPr>
            <w:tcW w:w="2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D4" w14:textId="77777777" w:rsidR="007E12E8" w:rsidRDefault="000E535A">
            <w:r>
              <w:rPr>
                <w:b/>
                <w:bCs/>
                <w:color w:val="FFFFFF"/>
                <w:sz w:val="20"/>
                <w:szCs w:val="20"/>
              </w:rPr>
              <w:t>Component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D5" w14:textId="77777777" w:rsidR="007E12E8" w:rsidRDefault="000E535A">
            <w:r>
              <w:rPr>
                <w:b/>
                <w:bCs/>
                <w:color w:val="FFFFFF"/>
                <w:sz w:val="20"/>
                <w:szCs w:val="20"/>
              </w:rPr>
              <w:t>Content</w:t>
            </w:r>
          </w:p>
        </w:tc>
        <w:tc>
          <w:tcPr>
            <w:tcW w:w="358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D6" w14:textId="77777777" w:rsidR="007E12E8" w:rsidRDefault="000E535A">
            <w:r>
              <w:rPr>
                <w:b/>
                <w:bCs/>
                <w:color w:val="FFFFFF"/>
                <w:sz w:val="20"/>
                <w:szCs w:val="20"/>
              </w:rPr>
              <w:t>Details &amp; Activities</w:t>
            </w:r>
          </w:p>
        </w:tc>
      </w:tr>
      <w:tr w:rsidR="007E12E8" w14:paraId="6CEC30DF"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D8" w14:textId="77777777" w:rsidR="007E12E8" w:rsidRDefault="000E535A">
            <w:r>
              <w:rPr>
                <w:b/>
                <w:bCs/>
                <w:sz w:val="19"/>
                <w:szCs w:val="19"/>
              </w:rPr>
              <w:t>Async Content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D9" w14:textId="77777777" w:rsidR="007E12E8" w:rsidRDefault="000E535A">
            <w:pPr>
              <w:spacing w:after="60"/>
            </w:pPr>
            <w:r>
              <w:rPr>
                <w:sz w:val="19"/>
                <w:szCs w:val="19"/>
              </w:rPr>
              <w:t>AI and algorithmic bias in LMIC health applications (dermatology AI, retinal screening, predictive analytics)</w:t>
            </w:r>
          </w:p>
          <w:p w14:paraId="6CEC30DA" w14:textId="77777777" w:rsidR="007E12E8" w:rsidRDefault="000E535A">
            <w:pPr>
              <w:spacing w:after="60"/>
            </w:pPr>
            <w:r>
              <w:rPr>
                <w:sz w:val="19"/>
                <w:szCs w:val="19"/>
              </w:rPr>
              <w:t>Data sovereignty: donor dynamics, localization, CARE Principles</w:t>
            </w:r>
          </w:p>
          <w:p w14:paraId="6CEC30DB" w14:textId="77777777" w:rsidR="007E12E8" w:rsidRDefault="000E535A">
            <w:r>
              <w:rPr>
                <w:sz w:val="19"/>
                <w:szCs w:val="19"/>
              </w:rPr>
              <w:t>Community data ownership: OCAP, data trusts, participatory governance</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DC" w14:textId="77777777" w:rsidR="007E12E8" w:rsidRDefault="000E535A">
            <w:pPr>
              <w:spacing w:after="60"/>
            </w:pPr>
            <w:r>
              <w:rPr>
                <w:sz w:val="19"/>
                <w:szCs w:val="19"/>
              </w:rPr>
              <w:t>Analyze documented AI performance disparities across populations</w:t>
            </w:r>
          </w:p>
          <w:p w14:paraId="6CEC30DD" w14:textId="77777777" w:rsidR="007E12E8" w:rsidRDefault="000E535A">
            <w:pPr>
              <w:spacing w:after="60"/>
            </w:pPr>
            <w:r>
              <w:rPr>
                <w:sz w:val="19"/>
                <w:szCs w:val="19"/>
              </w:rPr>
              <w:t>Dissect a real data-sharing agreement for sovereignty provisions</w:t>
            </w:r>
          </w:p>
          <w:p w14:paraId="6CEC30DE" w14:textId="77777777" w:rsidR="007E12E8" w:rsidRDefault="000E535A">
            <w:r>
              <w:rPr>
                <w:sz w:val="19"/>
                <w:szCs w:val="19"/>
              </w:rPr>
              <w:t>Compare community data governance models across three contexts</w:t>
            </w:r>
          </w:p>
        </w:tc>
      </w:tr>
      <w:tr w:rsidR="007E12E8" w14:paraId="6CEC30E5" w14:textId="77777777">
        <w:tc>
          <w:tcPr>
            <w:tcW w:w="22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E0" w14:textId="77777777" w:rsidR="007E12E8" w:rsidRDefault="000E535A">
            <w:r>
              <w:rPr>
                <w:b/>
                <w:bCs/>
                <w:sz w:val="19"/>
                <w:szCs w:val="19"/>
              </w:rPr>
              <w:t>Live Session</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E1" w14:textId="77777777" w:rsidR="007E12E8" w:rsidRDefault="000E535A">
            <w:r>
              <w:rPr>
                <w:sz w:val="19"/>
                <w:szCs w:val="19"/>
              </w:rPr>
              <w:t>Ethics case: global health org proposes ML use of maternal health data</w:t>
            </w:r>
          </w:p>
        </w:tc>
        <w:tc>
          <w:tcPr>
            <w:tcW w:w="358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E2" w14:textId="77777777" w:rsidR="007E12E8" w:rsidRDefault="000E535A">
            <w:pPr>
              <w:spacing w:after="60"/>
            </w:pPr>
            <w:r>
              <w:rPr>
                <w:sz w:val="19"/>
                <w:szCs w:val="19"/>
              </w:rPr>
              <w:t>Multi-stakeholder analysis across three countries with different legal frameworks</w:t>
            </w:r>
          </w:p>
          <w:p w14:paraId="6CEC30E3" w14:textId="77777777" w:rsidR="007E12E8" w:rsidRDefault="000E535A">
            <w:pPr>
              <w:spacing w:after="60"/>
            </w:pPr>
            <w:r>
              <w:rPr>
                <w:sz w:val="19"/>
                <w:szCs w:val="19"/>
              </w:rPr>
              <w:t>Structured ethical reasoning using multiple frameworks</w:t>
            </w:r>
          </w:p>
          <w:p w14:paraId="6CEC30E4" w14:textId="77777777" w:rsidR="007E12E8" w:rsidRDefault="000E535A">
            <w:r>
              <w:rPr>
                <w:sz w:val="19"/>
                <w:szCs w:val="19"/>
              </w:rPr>
              <w:t>Groups develop and defend a governance recommendation</w:t>
            </w:r>
          </w:p>
        </w:tc>
      </w:tr>
      <w:tr w:rsidR="007E12E8" w14:paraId="6CEC30EB" w14:textId="77777777">
        <w:tc>
          <w:tcPr>
            <w:tcW w:w="2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E6" w14:textId="77777777" w:rsidR="007E12E8" w:rsidRDefault="000E535A">
            <w:r>
              <w:rPr>
                <w:b/>
                <w:bCs/>
                <w:sz w:val="19"/>
                <w:szCs w:val="19"/>
              </w:rPr>
              <w:t>Final Assessment</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E7" w14:textId="77777777" w:rsidR="007E12E8" w:rsidRDefault="000E535A">
            <w:r>
              <w:rPr>
                <w:sz w:val="19"/>
                <w:szCs w:val="19"/>
              </w:rPr>
              <w:t>Ethics Case Analysis (3,000–3,500 words)</w:t>
            </w:r>
          </w:p>
        </w:tc>
        <w:tc>
          <w:tcPr>
            <w:tcW w:w="358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E8" w14:textId="77777777" w:rsidR="007E12E8" w:rsidRDefault="000E535A">
            <w:pPr>
              <w:spacing w:after="60"/>
            </w:pPr>
            <w:r>
              <w:rPr>
                <w:sz w:val="19"/>
                <w:szCs w:val="19"/>
              </w:rPr>
              <w:t>Stakeholder mapping, dual ethical framework application</w:t>
            </w:r>
          </w:p>
          <w:p w14:paraId="6CEC30E9" w14:textId="77777777" w:rsidR="007E12E8" w:rsidRDefault="000E535A">
            <w:pPr>
              <w:spacing w:after="60"/>
            </w:pPr>
            <w:r>
              <w:rPr>
                <w:sz w:val="19"/>
                <w:szCs w:val="19"/>
              </w:rPr>
              <w:t>Regulatory analysis, recommendation with justification</w:t>
            </w:r>
          </w:p>
          <w:p w14:paraId="6CEC30EA" w14:textId="77777777" w:rsidR="007E12E8" w:rsidRDefault="000E535A">
            <w:r>
              <w:rPr>
                <w:sz w:val="19"/>
                <w:szCs w:val="19"/>
              </w:rPr>
              <w:lastRenderedPageBreak/>
              <w:t>Graded on reasoning quality, stakeholder sophistication, contextual grounding</w:t>
            </w:r>
          </w:p>
        </w:tc>
      </w:tr>
    </w:tbl>
    <w:p w14:paraId="6CEC30EC" w14:textId="77777777" w:rsidR="007E12E8" w:rsidRDefault="000E535A">
      <w:r>
        <w:br w:type="page"/>
      </w:r>
    </w:p>
    <w:p w14:paraId="6CEC30ED" w14:textId="77777777" w:rsidR="007E12E8" w:rsidRDefault="000E535A">
      <w:pPr>
        <w:pStyle w:val="Heading1"/>
      </w:pPr>
      <w:r>
        <w:lastRenderedPageBreak/>
        <w:t>Assessment Summary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1200"/>
        <w:gridCol w:w="1200"/>
        <w:gridCol w:w="3460"/>
      </w:tblGrid>
      <w:tr w:rsidR="007E12E8" w14:paraId="6CEC30F2" w14:textId="77777777">
        <w:tc>
          <w:tcPr>
            <w:tcW w:w="35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EE" w14:textId="77777777" w:rsidR="007E12E8" w:rsidRDefault="000E535A">
            <w:r>
              <w:rPr>
                <w:b/>
                <w:bCs/>
                <w:color w:val="FFFFFF"/>
                <w:sz w:val="20"/>
                <w:szCs w:val="20"/>
              </w:rPr>
              <w:t>Assessment</w:t>
            </w:r>
          </w:p>
        </w:tc>
        <w:tc>
          <w:tcPr>
            <w:tcW w:w="1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EF" w14:textId="77777777" w:rsidR="007E12E8" w:rsidRDefault="000E535A">
            <w:r>
              <w:rPr>
                <w:b/>
                <w:bCs/>
                <w:color w:val="FFFFFF"/>
                <w:sz w:val="20"/>
                <w:szCs w:val="20"/>
              </w:rPr>
              <w:t>Weight</w:t>
            </w:r>
          </w:p>
        </w:tc>
        <w:tc>
          <w:tcPr>
            <w:tcW w:w="120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F0" w14:textId="77777777" w:rsidR="007E12E8" w:rsidRDefault="000E535A">
            <w:r>
              <w:rPr>
                <w:b/>
                <w:bCs/>
                <w:color w:val="FFFFFF"/>
                <w:sz w:val="20"/>
                <w:szCs w:val="20"/>
              </w:rPr>
              <w:t>Due</w:t>
            </w:r>
          </w:p>
        </w:tc>
        <w:tc>
          <w:tcPr>
            <w:tcW w:w="3460" w:type="dxa"/>
            <w:tcBorders>
              <w:top w:val="single" w:sz="1" w:space="0" w:color="B0B0B0"/>
              <w:left w:val="single" w:sz="1" w:space="0" w:color="B0B0B0"/>
              <w:bottom w:val="single" w:sz="1" w:space="0" w:color="B0B0B0"/>
              <w:right w:val="single" w:sz="1" w:space="0" w:color="B0B0B0"/>
            </w:tcBorders>
            <w:shd w:val="clear" w:color="auto" w:fill="1B3A5C"/>
            <w:tcMar>
              <w:top w:w="60" w:type="dxa"/>
              <w:left w:w="100" w:type="dxa"/>
              <w:bottom w:w="60" w:type="dxa"/>
              <w:right w:w="100" w:type="dxa"/>
            </w:tcMar>
            <w:vAlign w:val="center"/>
          </w:tcPr>
          <w:p w14:paraId="6CEC30F1" w14:textId="77777777" w:rsidR="007E12E8" w:rsidRDefault="000E535A">
            <w:r>
              <w:rPr>
                <w:b/>
                <w:bCs/>
                <w:color w:val="FFFFFF"/>
                <w:sz w:val="20"/>
                <w:szCs w:val="20"/>
              </w:rPr>
              <w:t>Key Evaluation Criteria</w:t>
            </w:r>
          </w:p>
        </w:tc>
      </w:tr>
      <w:tr w:rsidR="007E12E8" w14:paraId="6CEC30F9" w14:textId="77777777">
        <w:tc>
          <w:tcPr>
            <w:tcW w:w="35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F3" w14:textId="77777777" w:rsidR="007E12E8" w:rsidRDefault="000E535A">
            <w:r>
              <w:rPr>
                <w:b/>
                <w:bCs/>
                <w:sz w:val="19"/>
                <w:szCs w:val="19"/>
              </w:rPr>
              <w:t>Security Risk Assessment Report</w:t>
            </w:r>
          </w:p>
        </w:tc>
        <w:tc>
          <w:tcPr>
            <w:tcW w:w="1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F4" w14:textId="77777777" w:rsidR="007E12E8" w:rsidRDefault="000E535A">
            <w:r>
              <w:rPr>
                <w:sz w:val="19"/>
                <w:szCs w:val="19"/>
              </w:rPr>
              <w:t>40%</w:t>
            </w:r>
          </w:p>
        </w:tc>
        <w:tc>
          <w:tcPr>
            <w:tcW w:w="120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F5" w14:textId="77777777" w:rsidR="007E12E8" w:rsidRDefault="000E535A">
            <w:r>
              <w:rPr>
                <w:sz w:val="19"/>
                <w:szCs w:val="19"/>
              </w:rPr>
              <w:t>End of Week 2</w:t>
            </w:r>
          </w:p>
        </w:tc>
        <w:tc>
          <w:tcPr>
            <w:tcW w:w="3460" w:type="dxa"/>
            <w:tcBorders>
              <w:top w:val="single" w:sz="1" w:space="0" w:color="B0B0B0"/>
              <w:left w:val="single" w:sz="1" w:space="0" w:color="B0B0B0"/>
              <w:bottom w:val="single" w:sz="1" w:space="0" w:color="B0B0B0"/>
              <w:right w:val="single" w:sz="1" w:space="0" w:color="B0B0B0"/>
            </w:tcBorders>
            <w:shd w:val="clear" w:color="auto" w:fill="F2F6FA"/>
            <w:tcMar>
              <w:top w:w="60" w:type="dxa"/>
              <w:left w:w="100" w:type="dxa"/>
              <w:bottom w:w="60" w:type="dxa"/>
              <w:right w:w="100" w:type="dxa"/>
            </w:tcMar>
          </w:tcPr>
          <w:p w14:paraId="6CEC30F6" w14:textId="77777777" w:rsidR="007E12E8" w:rsidRDefault="000E535A">
            <w:pPr>
              <w:spacing w:after="60"/>
            </w:pPr>
            <w:r>
              <w:rPr>
                <w:sz w:val="19"/>
                <w:szCs w:val="19"/>
              </w:rPr>
              <w:t>Realism of system description and threat analysis</w:t>
            </w:r>
          </w:p>
          <w:p w14:paraId="6CEC30F7" w14:textId="77777777" w:rsidR="007E12E8" w:rsidRDefault="000E535A">
            <w:pPr>
              <w:spacing w:after="60"/>
            </w:pPr>
            <w:r>
              <w:rPr>
                <w:sz w:val="19"/>
                <w:szCs w:val="19"/>
              </w:rPr>
              <w:t>Quality and specificity of vulnerability assessment</w:t>
            </w:r>
          </w:p>
          <w:p w14:paraId="6CEC30F8" w14:textId="77777777" w:rsidR="007E12E8" w:rsidRDefault="000E535A">
            <w:r>
              <w:rPr>
                <w:sz w:val="19"/>
                <w:szCs w:val="19"/>
              </w:rPr>
              <w:t>Implementability of mitigation recommendations within stated constraints</w:t>
            </w:r>
          </w:p>
        </w:tc>
      </w:tr>
      <w:tr w:rsidR="007E12E8" w14:paraId="6CEC3101" w14:textId="77777777">
        <w:tc>
          <w:tcPr>
            <w:tcW w:w="35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FA" w14:textId="77777777" w:rsidR="007E12E8" w:rsidRDefault="000E535A">
            <w:r>
              <w:rPr>
                <w:b/>
                <w:bCs/>
                <w:sz w:val="19"/>
                <w:szCs w:val="19"/>
              </w:rPr>
              <w:t>Ethics Case Analysis</w:t>
            </w:r>
          </w:p>
        </w:tc>
        <w:tc>
          <w:tcPr>
            <w:tcW w:w="12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FB" w14:textId="77777777" w:rsidR="007E12E8" w:rsidRDefault="000E535A">
            <w:r>
              <w:rPr>
                <w:sz w:val="19"/>
                <w:szCs w:val="19"/>
              </w:rPr>
              <w:t>60%</w:t>
            </w:r>
          </w:p>
        </w:tc>
        <w:tc>
          <w:tcPr>
            <w:tcW w:w="120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FC" w14:textId="77777777" w:rsidR="007E12E8" w:rsidRDefault="000E535A">
            <w:r>
              <w:rPr>
                <w:sz w:val="19"/>
                <w:szCs w:val="19"/>
              </w:rPr>
              <w:t>End of Week 4 (one week post-module)</w:t>
            </w:r>
          </w:p>
        </w:tc>
        <w:tc>
          <w:tcPr>
            <w:tcW w:w="3460" w:type="dxa"/>
            <w:tcBorders>
              <w:top w:val="single" w:sz="1" w:space="0" w:color="B0B0B0"/>
              <w:left w:val="single" w:sz="1" w:space="0" w:color="B0B0B0"/>
              <w:bottom w:val="single" w:sz="1" w:space="0" w:color="B0B0B0"/>
              <w:right w:val="single" w:sz="1" w:space="0" w:color="B0B0B0"/>
            </w:tcBorders>
            <w:shd w:val="clear" w:color="auto" w:fill="FFFFFF"/>
            <w:tcMar>
              <w:top w:w="60" w:type="dxa"/>
              <w:left w:w="100" w:type="dxa"/>
              <w:bottom w:w="60" w:type="dxa"/>
              <w:right w:w="100" w:type="dxa"/>
            </w:tcMar>
          </w:tcPr>
          <w:p w14:paraId="6CEC30FD" w14:textId="77777777" w:rsidR="007E12E8" w:rsidRDefault="000E535A">
            <w:pPr>
              <w:spacing w:after="60"/>
            </w:pPr>
            <w:r>
              <w:rPr>
                <w:sz w:val="19"/>
                <w:szCs w:val="19"/>
              </w:rPr>
              <w:t>Quality of ethical reasoning across multiple frameworks</w:t>
            </w:r>
          </w:p>
          <w:p w14:paraId="6CEC30FE" w14:textId="77777777" w:rsidR="007E12E8" w:rsidRDefault="000E535A">
            <w:pPr>
              <w:spacing w:after="60"/>
            </w:pPr>
            <w:r>
              <w:rPr>
                <w:sz w:val="19"/>
                <w:szCs w:val="19"/>
              </w:rPr>
              <w:t>Sophistication of stakeholder analysis (power, vulnerability, interests)</w:t>
            </w:r>
          </w:p>
          <w:p w14:paraId="6CEC30FF" w14:textId="77777777" w:rsidR="007E12E8" w:rsidRDefault="000E535A">
            <w:pPr>
              <w:spacing w:after="60"/>
            </w:pPr>
            <w:r>
              <w:rPr>
                <w:sz w:val="19"/>
                <w:szCs w:val="19"/>
              </w:rPr>
              <w:t>Contextual grounding of recommendation in LMIC realities</w:t>
            </w:r>
          </w:p>
          <w:p w14:paraId="6CEC3100" w14:textId="77777777" w:rsidR="007E12E8" w:rsidRDefault="000E535A">
            <w:r>
              <w:rPr>
                <w:sz w:val="19"/>
                <w:szCs w:val="19"/>
              </w:rPr>
              <w:t>Regulatory analysis and identification of governance gaps</w:t>
            </w:r>
          </w:p>
        </w:tc>
      </w:tr>
    </w:tbl>
    <w:p w14:paraId="6CEC3102" w14:textId="77777777" w:rsidR="007E12E8" w:rsidRDefault="000E535A">
      <w:pPr>
        <w:pStyle w:val="Heading1"/>
      </w:pPr>
      <w:r>
        <w:t>Required &amp; Recommended Readings</w:t>
      </w:r>
    </w:p>
    <w:p w14:paraId="6CEC3103" w14:textId="77777777" w:rsidR="007E12E8" w:rsidRDefault="000E535A">
      <w:pPr>
        <w:spacing w:before="200" w:after="80"/>
      </w:pPr>
      <w:r>
        <w:rPr>
          <w:b/>
          <w:bCs/>
          <w:color w:val="1B3A5C"/>
        </w:rPr>
        <w:t>Foundational</w:t>
      </w:r>
    </w:p>
    <w:p w14:paraId="6CEC3104" w14:textId="77777777" w:rsidR="007E12E8" w:rsidRDefault="000E535A">
      <w:pPr>
        <w:spacing w:after="120" w:line="276" w:lineRule="auto"/>
      </w:pPr>
      <w:r>
        <w:rPr>
          <w:sz w:val="21"/>
          <w:szCs w:val="21"/>
        </w:rPr>
        <w:t>Vayena, E., Dzenowagis, J., Brownstein, J.S., et al. (2018). Policy implications of big data in the health sector. Bulletin of the World Health Organization, 96(1), 66–68.</w:t>
      </w:r>
    </w:p>
    <w:p w14:paraId="6CEC3105" w14:textId="77777777" w:rsidR="007E12E8" w:rsidRDefault="000E535A">
      <w:pPr>
        <w:spacing w:after="120" w:line="276" w:lineRule="auto"/>
      </w:pPr>
      <w:r>
        <w:rPr>
          <w:sz w:val="21"/>
          <w:szCs w:val="21"/>
        </w:rPr>
        <w:t>Tiffin, N., George, A., LeFevre, A.E. (2019). How to use relevant data for maximal benefit with minimal risk: digital health data governance to protect vulnerable populations in low-income and middle-income countries. BMJ Global Health, 4(2), e001395.</w:t>
      </w:r>
    </w:p>
    <w:p w14:paraId="6CEC3106" w14:textId="77777777" w:rsidR="007E12E8" w:rsidRDefault="000E535A">
      <w:pPr>
        <w:spacing w:after="120" w:line="276" w:lineRule="auto"/>
      </w:pPr>
      <w:r>
        <w:rPr>
          <w:sz w:val="21"/>
          <w:szCs w:val="21"/>
        </w:rPr>
        <w:t>Research Data Alliance International Indigenous Data Sovereignty Interest Group. (2019). CARE Principles for Indigenous Data Governance.</w:t>
      </w:r>
    </w:p>
    <w:p w14:paraId="6CEC3107" w14:textId="77777777" w:rsidR="007E12E8" w:rsidRDefault="000E535A">
      <w:pPr>
        <w:spacing w:before="200" w:after="80"/>
      </w:pPr>
      <w:r>
        <w:rPr>
          <w:b/>
          <w:bCs/>
          <w:color w:val="1B3A5C"/>
        </w:rPr>
        <w:t>Regulatory</w:t>
      </w:r>
    </w:p>
    <w:p w14:paraId="6CEC3108" w14:textId="77777777" w:rsidR="007E12E8" w:rsidRDefault="000E535A">
      <w:pPr>
        <w:spacing w:after="120" w:line="276" w:lineRule="auto"/>
      </w:pPr>
      <w:r>
        <w:rPr>
          <w:sz w:val="21"/>
          <w:szCs w:val="21"/>
        </w:rPr>
        <w:t>Nigeria Data Protection Act (NDPA), 2023.</w:t>
      </w:r>
    </w:p>
    <w:p w14:paraId="6CEC3109" w14:textId="77777777" w:rsidR="007E12E8" w:rsidRDefault="000E535A">
      <w:pPr>
        <w:spacing w:after="120" w:line="276" w:lineRule="auto"/>
      </w:pPr>
      <w:r>
        <w:rPr>
          <w:sz w:val="21"/>
          <w:szCs w:val="21"/>
        </w:rPr>
        <w:t>Cybercrimes (Prohibition, Prevention, Etc.) Act, 2015 (Nigeria); Cybercrimes (Prohibition, Prevention, Etc.) (Amendment) Act, 2024.</w:t>
      </w:r>
    </w:p>
    <w:p w14:paraId="5C846EB3" w14:textId="77777777" w:rsidR="007E12E8" w:rsidRDefault="000E535A">
      <w:pPr>
        <w:spacing w:after="120" w:line="276" w:lineRule="auto"/>
      </w:pPr>
      <w:r>
        <w:rPr>
          <w:sz w:val="21"/>
          <w:szCs w:val="21"/>
        </w:rPr>
        <w:t>Designation and Protection of Critical National Information Infrastructure Order, 2024 (Nigeria).</w:t>
      </w:r>
    </w:p>
    <w:p w14:paraId="5F979D8B" w14:textId="77777777" w:rsidR="007E12E8" w:rsidRDefault="000E535A">
      <w:pPr>
        <w:spacing w:after="120" w:line="276" w:lineRule="auto"/>
      </w:pPr>
      <w:r>
        <w:rPr>
          <w:sz w:val="21"/>
          <w:szCs w:val="21"/>
        </w:rPr>
        <w:t>Kenya Data Protection Act, No. 24 of 2019.</w:t>
      </w:r>
    </w:p>
    <w:p w14:paraId="5683D980" w14:textId="77777777" w:rsidR="007E12E8" w:rsidRDefault="000E535A">
      <w:pPr>
        <w:spacing w:after="120" w:line="276" w:lineRule="auto"/>
      </w:pPr>
      <w:r>
        <w:rPr>
          <w:sz w:val="21"/>
          <w:szCs w:val="21"/>
        </w:rPr>
        <w:t>Computer Misuse and Cybercrimes Act, No. 5 of 2018 (Kenya).</w:t>
      </w:r>
    </w:p>
    <w:p w14:paraId="6CEC310A" w14:textId="77777777" w:rsidR="007E12E8" w:rsidRDefault="000E535A">
      <w:pPr>
        <w:spacing w:after="120" w:line="276" w:lineRule="auto"/>
      </w:pPr>
      <w:r>
        <w:rPr>
          <w:sz w:val="21"/>
          <w:szCs w:val="21"/>
        </w:rPr>
        <w:t>India Digital Personal Data Protection Act, 2023.</w:t>
      </w:r>
    </w:p>
    <w:p w14:paraId="6CEC310B" w14:textId="77777777" w:rsidR="007E12E8" w:rsidRDefault="000E535A">
      <w:pPr>
        <w:spacing w:after="120" w:line="276" w:lineRule="auto"/>
      </w:pPr>
      <w:r>
        <w:rPr>
          <w:sz w:val="21"/>
          <w:szCs w:val="21"/>
        </w:rPr>
        <w:t>African Union Convention on Cyber Security and Personal Data Protection (Malabo Convention), 2014.</w:t>
      </w:r>
    </w:p>
    <w:p w14:paraId="6CEC310C" w14:textId="77777777" w:rsidR="007E12E8" w:rsidRDefault="000E535A">
      <w:pPr>
        <w:spacing w:before="200" w:after="80"/>
      </w:pPr>
      <w:r>
        <w:rPr>
          <w:b/>
          <w:bCs/>
          <w:color w:val="1B3A5C"/>
        </w:rPr>
        <w:t>Case-Specific</w:t>
      </w:r>
    </w:p>
    <w:p w14:paraId="6CEC310D" w14:textId="77777777" w:rsidR="007E12E8" w:rsidRDefault="000E535A">
      <w:pPr>
        <w:spacing w:after="120" w:line="276" w:lineRule="auto"/>
      </w:pPr>
      <w:r>
        <w:rPr>
          <w:sz w:val="21"/>
          <w:szCs w:val="21"/>
        </w:rPr>
        <w:t>Brunn, M., Diefenbach, B., Liebig, L., et al. (2021). Challenges of aligning artificial intelligence to health equity in LMICs. BMJ Global Health, 6(10), e007067.</w:t>
      </w:r>
    </w:p>
    <w:p w14:paraId="6CEC310E" w14:textId="77777777" w:rsidR="007E12E8" w:rsidRDefault="000E535A">
      <w:pPr>
        <w:spacing w:after="120" w:line="276" w:lineRule="auto"/>
      </w:pPr>
      <w:r>
        <w:rPr>
          <w:sz w:val="21"/>
          <w:szCs w:val="21"/>
        </w:rPr>
        <w:lastRenderedPageBreak/>
        <w:t>Malone, B., et al. (2021). The use of WhatsApp in clinical settings: a literature review. mHealth, 7.</w:t>
      </w:r>
    </w:p>
    <w:p w14:paraId="6CEC310F" w14:textId="77777777" w:rsidR="007E12E8" w:rsidRDefault="000E535A">
      <w:pPr>
        <w:spacing w:after="120" w:line="276" w:lineRule="auto"/>
      </w:pPr>
      <w:r>
        <w:rPr>
          <w:sz w:val="21"/>
          <w:szCs w:val="21"/>
        </w:rPr>
        <w:t>Yakubu, A., Chen, Y.C. (2020). Personal data protection regulation in Nigeria—institutional approaches. International Journal of Law and Information Technology, 28(2), 139–163.</w:t>
      </w:r>
    </w:p>
    <w:sectPr w:rsidR="007E12E8">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93BF" w14:textId="77777777" w:rsidR="003C1F56" w:rsidRDefault="003C1F56">
      <w:r>
        <w:separator/>
      </w:r>
    </w:p>
  </w:endnote>
  <w:endnote w:type="continuationSeparator" w:id="0">
    <w:p w14:paraId="2334C7BB" w14:textId="77777777" w:rsidR="003C1F56" w:rsidRDefault="003C1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3118" w14:textId="7FB9C61B" w:rsidR="007E12E8" w:rsidRDefault="000E535A">
    <w:pPr>
      <w:pBdr>
        <w:top w:val="single" w:sz="2" w:space="4" w:color="CCCCCC"/>
      </w:pBdr>
      <w:jc w:val="right"/>
    </w:pPr>
    <w:r>
      <w:rPr>
        <w:color w:val="999999"/>
        <w:sz w:val="16"/>
        <w:szCs w:val="16"/>
      </w:rPr>
      <w:t xml:space="preserve">Page </w:t>
    </w:r>
    <w:r>
      <w:rPr>
        <w:color w:val="999999"/>
        <w:sz w:val="16"/>
        <w:szCs w:val="16"/>
      </w:rPr>
      <w:fldChar w:fldCharType="begin"/>
    </w:r>
    <w:r>
      <w:rPr>
        <w:color w:val="999999"/>
        <w:sz w:val="16"/>
        <w:szCs w:val="16"/>
      </w:rPr>
      <w:instrText>PAGE</w:instrText>
    </w:r>
    <w:r>
      <w:rPr>
        <w:color w:val="999999"/>
        <w:sz w:val="16"/>
        <w:szCs w:val="16"/>
      </w:rPr>
      <w:fldChar w:fldCharType="separate"/>
    </w:r>
    <w:r w:rsidR="00956C5A">
      <w:rPr>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C692F" w14:textId="77777777" w:rsidR="003C1F56" w:rsidRDefault="003C1F56">
      <w:r>
        <w:separator/>
      </w:r>
    </w:p>
  </w:footnote>
  <w:footnote w:type="continuationSeparator" w:id="0">
    <w:p w14:paraId="1C89E270" w14:textId="77777777" w:rsidR="003C1F56" w:rsidRDefault="003C1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FD5A" w14:textId="3D92E841" w:rsidR="00165266" w:rsidRPr="00165266" w:rsidRDefault="00E34D33">
    <w:pPr>
      <w:pBdr>
        <w:bottom w:val="single" w:sz="4" w:space="4" w:color="1B3A5C"/>
      </w:pBdr>
      <w:rPr>
        <w:i/>
        <w:iCs/>
        <w:color w:val="888888"/>
        <w:sz w:val="16"/>
        <w:szCs w:val="16"/>
      </w:rPr>
    </w:pPr>
    <w:r>
      <w:rPr>
        <w:i/>
        <w:iCs/>
        <w:color w:val="888888"/>
        <w:sz w:val="16"/>
        <w:szCs w:val="16"/>
      </w:rPr>
      <w:t>AHI-</w:t>
    </w:r>
    <w:r w:rsidR="00AF75C4">
      <w:rPr>
        <w:i/>
        <w:iCs/>
        <w:color w:val="888888"/>
        <w:sz w:val="16"/>
        <w:szCs w:val="16"/>
      </w:rPr>
      <w:t>DHS-C301</w:t>
    </w:r>
    <w:r w:rsidR="000E535A">
      <w:rPr>
        <w:i/>
        <w:iCs/>
        <w:color w:val="888888"/>
        <w:sz w:val="16"/>
        <w:szCs w:val="16"/>
      </w:rPr>
      <w:t xml:space="preserve">: Data Security, Privacy &amp; Ethics </w:t>
    </w:r>
    <w:r w:rsidR="00AF75C4">
      <w:rPr>
        <w:i/>
        <w:iCs/>
        <w:color w:val="888888"/>
        <w:sz w:val="16"/>
        <w:szCs w:val="16"/>
      </w:rPr>
      <w:t xml:space="preserve">(Digital Health Systems (DHS </w:t>
    </w:r>
    <w:r w:rsidR="00165266">
      <w:rPr>
        <w:i/>
        <w:iCs/>
        <w:color w:val="888888"/>
        <w:sz w:val="16"/>
        <w:szCs w:val="16"/>
      </w:rPr>
      <w:t>Track)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9788D"/>
    <w:multiLevelType w:val="hybridMultilevel"/>
    <w:tmpl w:val="260CFD7E"/>
    <w:lvl w:ilvl="0" w:tplc="676AB6F0">
      <w:start w:val="1"/>
      <w:numFmt w:val="bullet"/>
      <w:lvlText w:val="●"/>
      <w:lvlJc w:val="left"/>
      <w:pPr>
        <w:ind w:left="720" w:hanging="360"/>
      </w:pPr>
    </w:lvl>
    <w:lvl w:ilvl="1" w:tplc="B652E426">
      <w:start w:val="1"/>
      <w:numFmt w:val="bullet"/>
      <w:lvlText w:val="○"/>
      <w:lvlJc w:val="left"/>
      <w:pPr>
        <w:ind w:left="1440" w:hanging="360"/>
      </w:pPr>
    </w:lvl>
    <w:lvl w:ilvl="2" w:tplc="0A4666B8">
      <w:start w:val="1"/>
      <w:numFmt w:val="bullet"/>
      <w:lvlText w:val="■"/>
      <w:lvlJc w:val="left"/>
      <w:pPr>
        <w:ind w:left="2160" w:hanging="360"/>
      </w:pPr>
    </w:lvl>
    <w:lvl w:ilvl="3" w:tplc="08364DE0">
      <w:start w:val="1"/>
      <w:numFmt w:val="bullet"/>
      <w:lvlText w:val="●"/>
      <w:lvlJc w:val="left"/>
      <w:pPr>
        <w:ind w:left="2880" w:hanging="360"/>
      </w:pPr>
    </w:lvl>
    <w:lvl w:ilvl="4" w:tplc="EC0AECE2">
      <w:start w:val="1"/>
      <w:numFmt w:val="bullet"/>
      <w:lvlText w:val="○"/>
      <w:lvlJc w:val="left"/>
      <w:pPr>
        <w:ind w:left="3600" w:hanging="360"/>
      </w:pPr>
    </w:lvl>
    <w:lvl w:ilvl="5" w:tplc="221CE172">
      <w:start w:val="1"/>
      <w:numFmt w:val="bullet"/>
      <w:lvlText w:val="■"/>
      <w:lvlJc w:val="left"/>
      <w:pPr>
        <w:ind w:left="4320" w:hanging="360"/>
      </w:pPr>
    </w:lvl>
    <w:lvl w:ilvl="6" w:tplc="817E2848">
      <w:start w:val="1"/>
      <w:numFmt w:val="bullet"/>
      <w:lvlText w:val="●"/>
      <w:lvlJc w:val="left"/>
      <w:pPr>
        <w:ind w:left="5040" w:hanging="360"/>
      </w:pPr>
    </w:lvl>
    <w:lvl w:ilvl="7" w:tplc="B20642E0">
      <w:start w:val="1"/>
      <w:numFmt w:val="bullet"/>
      <w:lvlText w:val="●"/>
      <w:lvlJc w:val="left"/>
      <w:pPr>
        <w:ind w:left="5760" w:hanging="360"/>
      </w:pPr>
    </w:lvl>
    <w:lvl w:ilvl="8" w:tplc="D5BAFBB0">
      <w:start w:val="1"/>
      <w:numFmt w:val="bullet"/>
      <w:lvlText w:val="●"/>
      <w:lvlJc w:val="left"/>
      <w:pPr>
        <w:ind w:left="6480" w:hanging="360"/>
      </w:pPr>
    </w:lvl>
  </w:abstractNum>
  <w:num w:numId="1" w16cid:durableId="9013262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2E8"/>
    <w:rsid w:val="0003507D"/>
    <w:rsid w:val="00094201"/>
    <w:rsid w:val="000E535A"/>
    <w:rsid w:val="0014415F"/>
    <w:rsid w:val="00165266"/>
    <w:rsid w:val="001C09CA"/>
    <w:rsid w:val="00292D97"/>
    <w:rsid w:val="003C1F56"/>
    <w:rsid w:val="00482239"/>
    <w:rsid w:val="004F6182"/>
    <w:rsid w:val="006A598A"/>
    <w:rsid w:val="006A6952"/>
    <w:rsid w:val="007E12E8"/>
    <w:rsid w:val="008D5D00"/>
    <w:rsid w:val="009200FA"/>
    <w:rsid w:val="00956C5A"/>
    <w:rsid w:val="00A91E0E"/>
    <w:rsid w:val="00AF75C4"/>
    <w:rsid w:val="00B4649D"/>
    <w:rsid w:val="00C3201D"/>
    <w:rsid w:val="00CC4D27"/>
    <w:rsid w:val="00CD2273"/>
    <w:rsid w:val="00E34D33"/>
    <w:rsid w:val="00E67AA6"/>
    <w:rsid w:val="00E9766D"/>
    <w:rsid w:val="00F16CA0"/>
    <w:rsid w:val="00FB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C306B"/>
  <w15:docId w15:val="{F30ED6F7-0753-47D0-B338-A5139633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color w:val="1B3A5C"/>
      <w:sz w:val="32"/>
      <w:szCs w:val="32"/>
    </w:rPr>
  </w:style>
  <w:style w:type="paragraph" w:styleId="Heading2">
    <w:name w:val="heading 2"/>
    <w:uiPriority w:val="9"/>
    <w:unhideWhenUsed/>
    <w:qFormat/>
    <w:pPr>
      <w:spacing w:before="280" w:after="120"/>
      <w:outlineLvl w:val="1"/>
    </w:pPr>
    <w:rPr>
      <w:b/>
      <w:bCs/>
      <w:color w:val="2E5A88"/>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34D33"/>
    <w:pPr>
      <w:tabs>
        <w:tab w:val="center" w:pos="4680"/>
        <w:tab w:val="right" w:pos="9360"/>
      </w:tabs>
    </w:pPr>
  </w:style>
  <w:style w:type="character" w:customStyle="1" w:styleId="HeaderChar">
    <w:name w:val="Header Char"/>
    <w:basedOn w:val="DefaultParagraphFont"/>
    <w:link w:val="Header"/>
    <w:uiPriority w:val="99"/>
    <w:rsid w:val="00E34D33"/>
  </w:style>
  <w:style w:type="paragraph" w:styleId="Footer">
    <w:name w:val="footer"/>
    <w:basedOn w:val="Normal"/>
    <w:link w:val="FooterChar"/>
    <w:uiPriority w:val="99"/>
    <w:unhideWhenUsed/>
    <w:rsid w:val="00E34D33"/>
    <w:pPr>
      <w:tabs>
        <w:tab w:val="center" w:pos="4680"/>
        <w:tab w:val="right" w:pos="9360"/>
      </w:tabs>
    </w:pPr>
  </w:style>
  <w:style w:type="character" w:customStyle="1" w:styleId="FooterChar">
    <w:name w:val="Footer Char"/>
    <w:basedOn w:val="DefaultParagraphFont"/>
    <w:link w:val="Footer"/>
    <w:uiPriority w:val="99"/>
    <w:rsid w:val="00E34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12</Pages>
  <Words>4464</Words>
  <Characters>25445</Characters>
  <Application>Microsoft Office Word</Application>
  <DocSecurity>0</DocSecurity>
  <Lines>212</Lines>
  <Paragraphs>59</Paragraphs>
  <ScaleCrop>false</ScaleCrop>
  <Company>MSK</Company>
  <LinksUpToDate>false</LinksUpToDate>
  <CharactersWithSpaces>29850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Sangurima, Omar</cp:lastModifiedBy>
  <cp:revision>19</cp:revision>
  <dcterms:created xsi:type="dcterms:W3CDTF">2026-03-15T01:26:00Z</dcterms:created>
  <dcterms:modified xsi:type="dcterms:W3CDTF">2026-07-14T22:46:00Z</dcterms:modified>
</cp:coreProperties>
</file>