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F42D7" w14:textId="418E856A" w:rsidR="00B67F20" w:rsidRDefault="002F1171">
      <w:pPr>
        <w:rPr>
          <w:b/>
          <w:bCs/>
        </w:rPr>
      </w:pPr>
      <w:r>
        <w:rPr>
          <w:b/>
          <w:bCs/>
        </w:rPr>
        <w:t>Homework 5</w:t>
      </w:r>
    </w:p>
    <w:p w14:paraId="0E1AABF9" w14:textId="77777777" w:rsidR="00CA45D1" w:rsidRDefault="00CA45D1" w:rsidP="00CA45D1">
      <w:pPr>
        <w:pStyle w:val="ListParagraph"/>
        <w:numPr>
          <w:ilvl w:val="0"/>
          <w:numId w:val="2"/>
        </w:numPr>
      </w:pPr>
      <w:r>
        <w:t xml:space="preserve">Use this article to answer the following questions: </w:t>
      </w:r>
      <w:hyperlink r:id="rId5" w:history="1">
        <w:r w:rsidRPr="00B93B1A">
          <w:rPr>
            <w:rStyle w:val="Hyperlink"/>
          </w:rPr>
          <w:t>https://www.nature.com/articles/s41591-019-0654-5</w:t>
        </w:r>
      </w:hyperlink>
      <w:r>
        <w:t xml:space="preserve"> </w:t>
      </w:r>
    </w:p>
    <w:p w14:paraId="304433B8" w14:textId="77777777" w:rsidR="00CA45D1" w:rsidRDefault="00CA45D1" w:rsidP="00CA45D1">
      <w:pPr>
        <w:pStyle w:val="ListParagraph"/>
        <w:numPr>
          <w:ilvl w:val="1"/>
          <w:numId w:val="2"/>
        </w:numPr>
      </w:pPr>
      <w:r>
        <w:t>Do you agree with the conclusions of this paragraph? Explain your argument.</w:t>
      </w:r>
    </w:p>
    <w:p w14:paraId="4380DF87" w14:textId="77777777" w:rsidR="00CA45D1" w:rsidRDefault="00CA45D1" w:rsidP="00CA45D1">
      <w:pPr>
        <w:pStyle w:val="ListParagraph"/>
        <w:ind w:left="1440"/>
      </w:pPr>
      <w:r>
        <w:t>“</w:t>
      </w:r>
      <w:r w:rsidRPr="005528B5">
        <w:t>We next examined the association of TMB, purity, ploidy and heterogeneity with response stratified by previous ipilimumab therapy (Extended Data Fig. </w:t>
      </w:r>
      <w:hyperlink r:id="rId6" w:anchor="Fig11" w:history="1">
        <w:r w:rsidRPr="005528B5">
          <w:rPr>
            <w:rStyle w:val="Hyperlink"/>
          </w:rPr>
          <w:t>6a</w:t>
        </w:r>
      </w:hyperlink>
      <w:r w:rsidRPr="005528B5">
        <w:t>). Unlike previous studies</w:t>
      </w:r>
      <w:hyperlink r:id="rId7" w:anchor="ref-CR44" w:tooltip="Riaz, N. et al. Tumor and microenvironment evolution during immunotherapy with nivolumab. Cell 171, 934–949 (2017)." w:history="1">
        <w:r w:rsidRPr="005528B5">
          <w:rPr>
            <w:rStyle w:val="Hyperlink"/>
          </w:rPr>
          <w:t>44</w:t>
        </w:r>
      </w:hyperlink>
      <w:r w:rsidRPr="008E1ABC">
        <w:rPr>
          <w:vertAlign w:val="superscript"/>
        </w:rPr>
        <w:t>,</w:t>
      </w:r>
      <w:hyperlink r:id="rId8" w:anchor="ref-CR45" w:tooltip="Weber, J. et al. Baseline tumor T cell receptor (TcR) sequencing analysis and neo antigen load is associated with benefit in melanoma patients receiving sequential nivolumab and ipilimumab. Ann. Oncol. 27, 10470 (2016)." w:history="1">
        <w:r w:rsidRPr="005528B5">
          <w:rPr>
            <w:rStyle w:val="Hyperlink"/>
          </w:rPr>
          <w:t>45</w:t>
        </w:r>
      </w:hyperlink>
      <w:r w:rsidRPr="005528B5">
        <w:t>, we found no specific association of a higher TMB with response in the ipilimumab-naive versus ipilimumab-treated subgroup (MWW, </w:t>
      </w:r>
      <w:r w:rsidRPr="008E1ABC">
        <w:rPr>
          <w:i/>
          <w:iCs/>
        </w:rPr>
        <w:t>P</w:t>
      </w:r>
      <w:r w:rsidRPr="005528B5">
        <w:t> = 0.15, both). However, higher heterogeneity and lower ploidy were associated with progressors only in the ipilimumab-naive subgroup (MWW, </w:t>
      </w:r>
      <w:r w:rsidRPr="008E1ABC">
        <w:rPr>
          <w:i/>
          <w:iCs/>
        </w:rPr>
        <w:t>P</w:t>
      </w:r>
      <w:r w:rsidRPr="005528B5">
        <w:t> = 0.06 and </w:t>
      </w:r>
      <w:r w:rsidRPr="008E1ABC">
        <w:rPr>
          <w:i/>
          <w:iCs/>
        </w:rPr>
        <w:t>P</w:t>
      </w:r>
      <w:r w:rsidRPr="005528B5">
        <w:t> = 0.004, respectively).</w:t>
      </w:r>
      <w:r>
        <w:t>”</w:t>
      </w:r>
    </w:p>
    <w:p w14:paraId="420C1509" w14:textId="77777777" w:rsidR="00CA45D1" w:rsidRDefault="00CA45D1" w:rsidP="00CA45D1">
      <w:pPr>
        <w:pStyle w:val="ListParagraph"/>
        <w:numPr>
          <w:ilvl w:val="1"/>
          <w:numId w:val="2"/>
        </w:numPr>
      </w:pPr>
      <w:r>
        <w:t>Focusing on this paragraph, explain whether you think the authors adjusted for multiple testing. If they did was that the right thing to do? If not, what does this mean for their conclusions?</w:t>
      </w:r>
    </w:p>
    <w:p w14:paraId="648FCFB0" w14:textId="77777777" w:rsidR="00CA45D1" w:rsidRDefault="00CA45D1" w:rsidP="00CA45D1">
      <w:pPr>
        <w:pStyle w:val="ListParagraph"/>
        <w:ind w:left="1440"/>
      </w:pPr>
      <w:r>
        <w:t>“</w:t>
      </w:r>
      <w:r w:rsidRPr="003A2690">
        <w:t>We analyzed the differential expression of specific immune-related genes in responders versus progressors in ipilimumab-treated and ipilimumab-naive subgroups and found that higher expression of various immune-related pathways distinguished responders from progressors in ipilimumab-treated but not ipilimumab-naive subgroups (all </w:t>
      </w:r>
      <w:r w:rsidRPr="003A2690">
        <w:rPr>
          <w:i/>
          <w:iCs/>
        </w:rPr>
        <w:t>P</w:t>
      </w:r>
      <w:r w:rsidRPr="003A2690">
        <w:t> values are unadjusted). Examples included the leukocyte chemoattractants </w:t>
      </w:r>
      <w:r w:rsidRPr="003A2690">
        <w:rPr>
          <w:i/>
          <w:iCs/>
        </w:rPr>
        <w:t>CXCL9</w:t>
      </w:r>
      <w:r w:rsidRPr="003A2690">
        <w:t> and </w:t>
      </w:r>
      <w:r w:rsidRPr="003A2690">
        <w:rPr>
          <w:i/>
          <w:iCs/>
        </w:rPr>
        <w:t>CXCL10</w:t>
      </w:r>
      <w:r w:rsidRPr="003A2690">
        <w:t> and their receptor </w:t>
      </w:r>
      <w:r w:rsidRPr="003A2690">
        <w:rPr>
          <w:i/>
          <w:iCs/>
        </w:rPr>
        <w:t>CXCR3</w:t>
      </w:r>
      <w:r w:rsidRPr="003A2690">
        <w:t> (MWW, </w:t>
      </w:r>
      <w:r w:rsidRPr="003A2690">
        <w:rPr>
          <w:i/>
          <w:iCs/>
        </w:rPr>
        <w:t>P</w:t>
      </w:r>
      <w:r w:rsidRPr="003A2690">
        <w:t> = 0.05, </w:t>
      </w:r>
      <w:r w:rsidRPr="003A2690">
        <w:rPr>
          <w:i/>
          <w:iCs/>
        </w:rPr>
        <w:t>P</w:t>
      </w:r>
      <w:r w:rsidRPr="003A2690">
        <w:t> = 0.08 and </w:t>
      </w:r>
      <w:r w:rsidRPr="003A2690">
        <w:rPr>
          <w:i/>
          <w:iCs/>
        </w:rPr>
        <w:t>P</w:t>
      </w:r>
      <w:r w:rsidRPr="003A2690">
        <w:t> = 0.02, respectively, in the ipilimumab-treated subgroup), </w:t>
      </w:r>
      <w:r w:rsidRPr="003A2690">
        <w:rPr>
          <w:i/>
          <w:iCs/>
        </w:rPr>
        <w:t>CD3D</w:t>
      </w:r>
      <w:r w:rsidRPr="003A2690">
        <w:t> (MWW, </w:t>
      </w:r>
      <w:r w:rsidRPr="003A2690">
        <w:rPr>
          <w:i/>
          <w:iCs/>
        </w:rPr>
        <w:t>P</w:t>
      </w:r>
      <w:r w:rsidRPr="003A2690">
        <w:t> = 0.02), B cell markers </w:t>
      </w:r>
      <w:r w:rsidRPr="003A2690">
        <w:rPr>
          <w:i/>
          <w:iCs/>
        </w:rPr>
        <w:t>CD19</w:t>
      </w:r>
      <w:r w:rsidRPr="003A2690">
        <w:t> (MWW, </w:t>
      </w:r>
      <w:r w:rsidRPr="003A2690">
        <w:rPr>
          <w:i/>
          <w:iCs/>
        </w:rPr>
        <w:t>P</w:t>
      </w:r>
      <w:r w:rsidRPr="003A2690">
        <w:t> = 0.04) and </w:t>
      </w:r>
      <w:r w:rsidRPr="003A2690">
        <w:rPr>
          <w:i/>
          <w:iCs/>
        </w:rPr>
        <w:t>CD20</w:t>
      </w:r>
      <w:r w:rsidRPr="003A2690">
        <w:t> (</w:t>
      </w:r>
      <w:r w:rsidRPr="003A2690">
        <w:rPr>
          <w:i/>
          <w:iCs/>
        </w:rPr>
        <w:t>MS4A1</w:t>
      </w:r>
      <w:r w:rsidRPr="003A2690">
        <w:t>; MWW, </w:t>
      </w:r>
      <w:r w:rsidRPr="003A2690">
        <w:rPr>
          <w:i/>
          <w:iCs/>
        </w:rPr>
        <w:t>P</w:t>
      </w:r>
      <w:r w:rsidRPr="003A2690">
        <w:t> = 0.002) and macrophage marker </w:t>
      </w:r>
      <w:r w:rsidRPr="003A2690">
        <w:rPr>
          <w:i/>
          <w:iCs/>
        </w:rPr>
        <w:t>CD163</w:t>
      </w:r>
      <w:r w:rsidRPr="003A2690">
        <w:t> (MWW, </w:t>
      </w:r>
      <w:r w:rsidRPr="003A2690">
        <w:rPr>
          <w:i/>
          <w:iCs/>
        </w:rPr>
        <w:t>P</w:t>
      </w:r>
      <w:r w:rsidRPr="003A2690">
        <w:t> = 0.03). Interestingly, </w:t>
      </w:r>
      <w:r w:rsidRPr="003A2690">
        <w:rPr>
          <w:i/>
          <w:iCs/>
        </w:rPr>
        <w:t>CD4</w:t>
      </w:r>
      <w:r w:rsidRPr="003A2690">
        <w:t>, </w:t>
      </w:r>
      <w:r w:rsidRPr="003A2690">
        <w:rPr>
          <w:i/>
          <w:iCs/>
        </w:rPr>
        <w:t>FOXP3</w:t>
      </w:r>
      <w:r w:rsidRPr="003A2690">
        <w:t> </w:t>
      </w:r>
      <w:r w:rsidRPr="003A2690">
        <w:rPr>
          <w:i/>
          <w:iCs/>
        </w:rPr>
        <w:t>and CTLA4</w:t>
      </w:r>
      <w:r w:rsidRPr="003A2690">
        <w:t> also followed this pattern of higher expression in responders in the ipilimumab-treated subgroup </w:t>
      </w:r>
      <w:r w:rsidRPr="003A2690">
        <w:rPr>
          <w:i/>
          <w:iCs/>
        </w:rPr>
        <w:t>(</w:t>
      </w:r>
      <w:r w:rsidRPr="003A2690">
        <w:t>MWW, </w:t>
      </w:r>
      <w:r w:rsidRPr="003A2690">
        <w:rPr>
          <w:i/>
          <w:iCs/>
        </w:rPr>
        <w:t>P</w:t>
      </w:r>
      <w:r w:rsidRPr="003A2690">
        <w:t> = 0.06, </w:t>
      </w:r>
      <w:r w:rsidRPr="003A2690">
        <w:rPr>
          <w:i/>
          <w:iCs/>
        </w:rPr>
        <w:t>P</w:t>
      </w:r>
      <w:r w:rsidRPr="003A2690">
        <w:t> </w:t>
      </w:r>
      <w:r w:rsidRPr="003A2690">
        <w:rPr>
          <w:i/>
          <w:iCs/>
        </w:rPr>
        <w:t>=</w:t>
      </w:r>
      <w:r w:rsidRPr="003A2690">
        <w:t> 0.06 and </w:t>
      </w:r>
      <w:r w:rsidRPr="003A2690">
        <w:rPr>
          <w:i/>
          <w:iCs/>
        </w:rPr>
        <w:t>P</w:t>
      </w:r>
      <w:r w:rsidRPr="003A2690">
        <w:t> = 0.008, respectively), but </w:t>
      </w:r>
      <w:r w:rsidRPr="003A2690">
        <w:rPr>
          <w:i/>
          <w:iCs/>
        </w:rPr>
        <w:t>CD8A</w:t>
      </w:r>
      <w:r w:rsidRPr="003A2690">
        <w:t> and </w:t>
      </w:r>
      <w:r w:rsidRPr="003A2690">
        <w:rPr>
          <w:i/>
          <w:iCs/>
        </w:rPr>
        <w:t>CD8B</w:t>
      </w:r>
      <w:r w:rsidRPr="003A2690">
        <w:t> had less evidence of association with response in either ipilimumab-treated (MWW, </w:t>
      </w:r>
      <w:r w:rsidRPr="003A2690">
        <w:rPr>
          <w:i/>
          <w:iCs/>
        </w:rPr>
        <w:t>P</w:t>
      </w:r>
      <w:r w:rsidRPr="003A2690">
        <w:t> = 0.17 and </w:t>
      </w:r>
      <w:r w:rsidRPr="003A2690">
        <w:rPr>
          <w:i/>
          <w:iCs/>
        </w:rPr>
        <w:t>P</w:t>
      </w:r>
      <w:r w:rsidRPr="003A2690">
        <w:t> </w:t>
      </w:r>
      <w:r w:rsidRPr="003A2690">
        <w:rPr>
          <w:i/>
          <w:iCs/>
        </w:rPr>
        <w:t>=</w:t>
      </w:r>
      <w:r w:rsidRPr="003A2690">
        <w:t> 0.27, respectively) or ipilimumab-naive (MWW, </w:t>
      </w:r>
      <w:r w:rsidRPr="003A2690">
        <w:rPr>
          <w:i/>
          <w:iCs/>
        </w:rPr>
        <w:t>P</w:t>
      </w:r>
      <w:r w:rsidRPr="003A2690">
        <w:t> = 0.93 and </w:t>
      </w:r>
      <w:r w:rsidRPr="003A2690">
        <w:rPr>
          <w:i/>
          <w:iCs/>
        </w:rPr>
        <w:t>P</w:t>
      </w:r>
      <w:r w:rsidRPr="003A2690">
        <w:t> </w:t>
      </w:r>
      <w:r w:rsidRPr="003A2690">
        <w:rPr>
          <w:i/>
          <w:iCs/>
        </w:rPr>
        <w:t>=</w:t>
      </w:r>
      <w:r w:rsidRPr="003A2690">
        <w:t> 0.49, respectively) subgroups. Expression of </w:t>
      </w:r>
      <w:r w:rsidRPr="003A2690">
        <w:rPr>
          <w:i/>
          <w:iCs/>
        </w:rPr>
        <w:t>TAP2</w:t>
      </w:r>
      <w:r w:rsidRPr="003A2690">
        <w:t> was higher (MWW, </w:t>
      </w:r>
      <w:r w:rsidRPr="003A2690">
        <w:rPr>
          <w:i/>
          <w:iCs/>
        </w:rPr>
        <w:t>P</w:t>
      </w:r>
      <w:r w:rsidRPr="003A2690">
        <w:t> = 0.02) in responders than in progressors in the ipilimumab-treated subgroup but not in the ipilimumab-naive subgroup (MWW, </w:t>
      </w:r>
      <w:r w:rsidRPr="003A2690">
        <w:rPr>
          <w:i/>
          <w:iCs/>
        </w:rPr>
        <w:t>P</w:t>
      </w:r>
      <w:r w:rsidRPr="003A2690">
        <w:t> = 0.98). In contrast, </w:t>
      </w:r>
      <w:r w:rsidRPr="003A2690">
        <w:rPr>
          <w:i/>
          <w:iCs/>
        </w:rPr>
        <w:t>TGFB2</w:t>
      </w:r>
      <w:r w:rsidRPr="003A2690">
        <w:t> expression was higher in progressors in the ipilimumab-naive subgroup (MWW, </w:t>
      </w:r>
      <w:r w:rsidRPr="003A2690">
        <w:rPr>
          <w:i/>
          <w:iCs/>
        </w:rPr>
        <w:t>P</w:t>
      </w:r>
      <w:r w:rsidRPr="003A2690">
        <w:t> = 0.002) but not in the ipilimumab-treated subgroup (MWW, </w:t>
      </w:r>
      <w:r w:rsidRPr="003A2690">
        <w:rPr>
          <w:i/>
          <w:iCs/>
        </w:rPr>
        <w:t>P</w:t>
      </w:r>
      <w:r w:rsidRPr="003A2690">
        <w:t> = 0.43). The complete set of gene expression comparisons in the overall, ipilimumab-treated and ipilimumab-naive cohorts is in Supplementary Table </w:t>
      </w:r>
      <w:hyperlink r:id="rId9" w:anchor="MOESM4" w:history="1">
        <w:r w:rsidRPr="003A2690">
          <w:rPr>
            <w:rStyle w:val="Hyperlink"/>
          </w:rPr>
          <w:t>4</w:t>
        </w:r>
      </w:hyperlink>
      <w:r w:rsidRPr="003A2690">
        <w:t>.</w:t>
      </w:r>
      <w:r>
        <w:t>”</w:t>
      </w:r>
    </w:p>
    <w:p w14:paraId="7C1F6F78" w14:textId="77777777" w:rsidR="00CA45D1" w:rsidRDefault="00CA45D1" w:rsidP="00CA45D1">
      <w:pPr>
        <w:pStyle w:val="ListParagraph"/>
        <w:numPr>
          <w:ilvl w:val="1"/>
          <w:numId w:val="2"/>
        </w:numPr>
      </w:pPr>
      <w:r>
        <w:t>They don’t seem to have a power calculation. How should this affect their conclusions? How did it, if at all, affect their conclusions?</w:t>
      </w:r>
    </w:p>
    <w:p w14:paraId="1FADFD5A" w14:textId="5BB2A652" w:rsidR="00767829" w:rsidRDefault="00767829" w:rsidP="00767829">
      <w:pPr>
        <w:pStyle w:val="ListParagraph"/>
        <w:numPr>
          <w:ilvl w:val="0"/>
          <w:numId w:val="2"/>
        </w:numPr>
      </w:pPr>
      <w:r>
        <w:t xml:space="preserve">Read this article to answer the following </w:t>
      </w:r>
      <w:hyperlink r:id="rId10" w:history="1">
        <w:r w:rsidRPr="00375008">
          <w:rPr>
            <w:rStyle w:val="Hyperlink"/>
          </w:rPr>
          <w:t>https://ascopubs.org/doi/full/10.1200/JCO-25-00436</w:t>
        </w:r>
      </w:hyperlink>
      <w:r>
        <w:t xml:space="preserve"> </w:t>
      </w:r>
    </w:p>
    <w:p w14:paraId="6C1975D0" w14:textId="5B244DA9" w:rsidR="00767829" w:rsidRDefault="00983555" w:rsidP="00767829">
      <w:pPr>
        <w:pStyle w:val="ListParagraph"/>
        <w:numPr>
          <w:ilvl w:val="1"/>
          <w:numId w:val="2"/>
        </w:numPr>
      </w:pPr>
      <w:r>
        <w:t>What are the Type I and Type II errors this trial used?</w:t>
      </w:r>
    </w:p>
    <w:p w14:paraId="7490BFB9" w14:textId="377B00D3" w:rsidR="00983555" w:rsidRDefault="00983555" w:rsidP="00767829">
      <w:pPr>
        <w:pStyle w:val="ListParagraph"/>
        <w:numPr>
          <w:ilvl w:val="1"/>
          <w:numId w:val="2"/>
        </w:numPr>
      </w:pPr>
      <w:r>
        <w:t>How do they justify their choices?</w:t>
      </w:r>
    </w:p>
    <w:p w14:paraId="71CFD545" w14:textId="2B09492C" w:rsidR="00983555" w:rsidRPr="004E2628" w:rsidRDefault="00983555" w:rsidP="00767829">
      <w:pPr>
        <w:pStyle w:val="ListParagraph"/>
        <w:numPr>
          <w:ilvl w:val="1"/>
          <w:numId w:val="2"/>
        </w:numPr>
      </w:pPr>
      <w:r>
        <w:t xml:space="preserve">Give an example from your own field where these Type I and II errors might be acceptable. Explain your reasoning. </w:t>
      </w:r>
    </w:p>
    <w:p w14:paraId="766B1E3A" w14:textId="77777777" w:rsidR="00FA3B07" w:rsidRDefault="00FA3B07"/>
    <w:sectPr w:rsidR="00FA3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1153"/>
    <w:multiLevelType w:val="hybridMultilevel"/>
    <w:tmpl w:val="A2761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00199"/>
    <w:multiLevelType w:val="hybridMultilevel"/>
    <w:tmpl w:val="966A0C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71933">
    <w:abstractNumId w:val="1"/>
  </w:num>
  <w:num w:numId="2" w16cid:durableId="76815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73"/>
    <w:rsid w:val="000E6130"/>
    <w:rsid w:val="00114945"/>
    <w:rsid w:val="001C158D"/>
    <w:rsid w:val="002F1171"/>
    <w:rsid w:val="003B3014"/>
    <w:rsid w:val="00463790"/>
    <w:rsid w:val="00653762"/>
    <w:rsid w:val="006F6641"/>
    <w:rsid w:val="00767829"/>
    <w:rsid w:val="0087588E"/>
    <w:rsid w:val="00983555"/>
    <w:rsid w:val="00AD7899"/>
    <w:rsid w:val="00B33E73"/>
    <w:rsid w:val="00B41E97"/>
    <w:rsid w:val="00B67F20"/>
    <w:rsid w:val="00C50846"/>
    <w:rsid w:val="00C661BC"/>
    <w:rsid w:val="00CA45D1"/>
    <w:rsid w:val="00CB396B"/>
    <w:rsid w:val="00D723D0"/>
    <w:rsid w:val="00E651D3"/>
    <w:rsid w:val="00E80EA0"/>
    <w:rsid w:val="00EC4836"/>
    <w:rsid w:val="00F47F5B"/>
    <w:rsid w:val="00FA3B07"/>
    <w:rsid w:val="00FD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FB02"/>
  <w15:chartTrackingRefBased/>
  <w15:docId w15:val="{F91E1BAA-ACA6-4021-9680-893BCE61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171"/>
    <w:pPr>
      <w:ind w:left="720"/>
      <w:contextualSpacing/>
    </w:pPr>
  </w:style>
  <w:style w:type="table" w:styleId="TableGrid">
    <w:name w:val="Table Grid"/>
    <w:basedOn w:val="TableNormal"/>
    <w:uiPriority w:val="59"/>
    <w:rsid w:val="00EC4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6641"/>
    <w:rPr>
      <w:color w:val="0000FF" w:themeColor="hyperlink"/>
      <w:u w:val="single"/>
    </w:rPr>
  </w:style>
  <w:style w:type="character" w:styleId="UnresolvedMention">
    <w:name w:val="Unresolved Mention"/>
    <w:basedOn w:val="DefaultParagraphFont"/>
    <w:uiPriority w:val="99"/>
    <w:semiHidden/>
    <w:unhideWhenUsed/>
    <w:rsid w:val="006F6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91-019-0654-5" TargetMode="External"/><Relationship Id="rId3" Type="http://schemas.openxmlformats.org/officeDocument/2006/relationships/settings" Target="settings.xml"/><Relationship Id="rId7" Type="http://schemas.openxmlformats.org/officeDocument/2006/relationships/hyperlink" Target="https://www.nature.com/articles/s41591-019-065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com/articles/s41591-019-0654-5" TargetMode="External"/><Relationship Id="rId11" Type="http://schemas.openxmlformats.org/officeDocument/2006/relationships/fontTable" Target="fontTable.xml"/><Relationship Id="rId5" Type="http://schemas.openxmlformats.org/officeDocument/2006/relationships/hyperlink" Target="https://www.nature.com/articles/s41591-019-0654-5" TargetMode="External"/><Relationship Id="rId10" Type="http://schemas.openxmlformats.org/officeDocument/2006/relationships/hyperlink" Target="https://ascopubs.org/doi/full/10.1200/JCO-25-00436" TargetMode="External"/><Relationship Id="rId4" Type="http://schemas.openxmlformats.org/officeDocument/2006/relationships/webSettings" Target="webSettings.xml"/><Relationship Id="rId9" Type="http://schemas.openxmlformats.org/officeDocument/2006/relationships/hyperlink" Target="https://www.nature.com/articles/s41591-019-06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3112</Characters>
  <Application>Microsoft Office Word</Application>
  <DocSecurity>0</DocSecurity>
  <Lines>25</Lines>
  <Paragraphs>7</Paragraphs>
  <ScaleCrop>false</ScaleCrop>
  <Company>MSK</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Gonen, Mithat</dc:creator>
  <cp:keywords/>
  <dc:description/>
  <cp:lastModifiedBy>Bready, Brenden</cp:lastModifiedBy>
  <cp:revision>3</cp:revision>
  <dcterms:created xsi:type="dcterms:W3CDTF">2025-09-18T21:00:00Z</dcterms:created>
  <dcterms:modified xsi:type="dcterms:W3CDTF">2025-09-18T21:00:00Z</dcterms:modified>
</cp:coreProperties>
</file>